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EDFC9" w14:textId="77777777" w:rsidR="00D5547E" w:rsidRPr="009E51FC" w:rsidRDefault="00D5547E" w:rsidP="004A6D2F"/>
    <w:tbl>
      <w:tblPr>
        <w:tblW w:w="0" w:type="auto"/>
        <w:tblInd w:w="108" w:type="dxa"/>
        <w:tblLayout w:type="fixed"/>
        <w:tblLook w:val="04A0" w:firstRow="1" w:lastRow="0" w:firstColumn="1" w:lastColumn="0" w:noHBand="0" w:noVBand="1"/>
      </w:tblPr>
      <w:tblGrid>
        <w:gridCol w:w="2438"/>
        <w:gridCol w:w="6406"/>
      </w:tblGrid>
      <w:tr w:rsidR="00CE544A" w:rsidRPr="00975B07" w14:paraId="04473DCA" w14:textId="77777777" w:rsidTr="62B73EE3">
        <w:tc>
          <w:tcPr>
            <w:tcW w:w="2438" w:type="dxa"/>
            <w:shd w:val="clear" w:color="auto" w:fill="auto"/>
          </w:tcPr>
          <w:p w14:paraId="334BE3F6" w14:textId="77777777" w:rsidR="00F445B1" w:rsidRPr="00975B07" w:rsidRDefault="00F445B1" w:rsidP="004A6D2F">
            <w:pPr>
              <w:rPr>
                <w:rStyle w:val="Firstpagetablebold"/>
              </w:rPr>
            </w:pPr>
            <w:r w:rsidRPr="00975B07">
              <w:rPr>
                <w:rStyle w:val="Firstpagetablebold"/>
              </w:rPr>
              <w:t>To</w:t>
            </w:r>
            <w:r w:rsidR="005C35A5" w:rsidRPr="00975B07">
              <w:rPr>
                <w:rStyle w:val="Firstpagetablebold"/>
              </w:rPr>
              <w:t>:</w:t>
            </w:r>
          </w:p>
        </w:tc>
        <w:tc>
          <w:tcPr>
            <w:tcW w:w="6406" w:type="dxa"/>
            <w:shd w:val="clear" w:color="auto" w:fill="auto"/>
          </w:tcPr>
          <w:p w14:paraId="017518DB" w14:textId="0CD27372" w:rsidR="00F445B1" w:rsidRPr="0028516F" w:rsidRDefault="00DB7AD7" w:rsidP="004A6D2F">
            <w:pPr>
              <w:rPr>
                <w:rStyle w:val="Firstpagetablebold"/>
                <w:b w:val="0"/>
                <w:bCs/>
              </w:rPr>
            </w:pPr>
            <w:r w:rsidRPr="0028516F">
              <w:rPr>
                <w:rStyle w:val="Firstpagetablebold"/>
                <w:b w:val="0"/>
                <w:bCs/>
              </w:rPr>
              <w:t>Cabinet</w:t>
            </w:r>
            <w:r w:rsidR="00025250" w:rsidRPr="0028516F">
              <w:rPr>
                <w:rStyle w:val="Firstpagetablebold"/>
                <w:b w:val="0"/>
                <w:bCs/>
              </w:rPr>
              <w:t xml:space="preserve"> </w:t>
            </w:r>
          </w:p>
        </w:tc>
      </w:tr>
      <w:tr w:rsidR="00CE544A" w:rsidRPr="00975B07" w14:paraId="705FA4FB" w14:textId="77777777" w:rsidTr="62B73EE3">
        <w:tc>
          <w:tcPr>
            <w:tcW w:w="2438" w:type="dxa"/>
            <w:shd w:val="clear" w:color="auto" w:fill="auto"/>
          </w:tcPr>
          <w:p w14:paraId="3C1A12A6" w14:textId="77777777" w:rsidR="00F445B1" w:rsidRPr="00975B07" w:rsidRDefault="00F445B1" w:rsidP="004A6D2F">
            <w:pPr>
              <w:rPr>
                <w:rStyle w:val="Firstpagetablebold"/>
              </w:rPr>
            </w:pPr>
            <w:r w:rsidRPr="00975B07">
              <w:rPr>
                <w:rStyle w:val="Firstpagetablebold"/>
              </w:rPr>
              <w:t>Dat</w:t>
            </w:r>
            <w:r w:rsidR="005C35A5" w:rsidRPr="00975B07">
              <w:rPr>
                <w:rStyle w:val="Firstpagetablebold"/>
              </w:rPr>
              <w:t>e:</w:t>
            </w:r>
          </w:p>
        </w:tc>
        <w:tc>
          <w:tcPr>
            <w:tcW w:w="6406" w:type="dxa"/>
            <w:shd w:val="clear" w:color="auto" w:fill="auto"/>
          </w:tcPr>
          <w:p w14:paraId="4F4A4C58" w14:textId="5296240D" w:rsidR="00F445B1" w:rsidRPr="009E30E2" w:rsidRDefault="00E50C42" w:rsidP="62B73EE3">
            <w:pPr>
              <w:rPr>
                <w:b/>
                <w:bCs/>
                <w:color w:val="auto"/>
              </w:rPr>
            </w:pPr>
            <w:r>
              <w:rPr>
                <w:b/>
                <w:bCs/>
                <w:color w:val="auto"/>
              </w:rPr>
              <w:t xml:space="preserve">19 </w:t>
            </w:r>
            <w:r w:rsidR="009B552F">
              <w:rPr>
                <w:b/>
                <w:bCs/>
                <w:color w:val="auto"/>
              </w:rPr>
              <w:t xml:space="preserve">November 2025 </w:t>
            </w:r>
          </w:p>
        </w:tc>
      </w:tr>
      <w:tr w:rsidR="0067536C" w:rsidRPr="00975B07" w14:paraId="7AED9E48" w14:textId="77777777" w:rsidTr="62B73EE3">
        <w:tc>
          <w:tcPr>
            <w:tcW w:w="2438" w:type="dxa"/>
            <w:shd w:val="clear" w:color="auto" w:fill="auto"/>
          </w:tcPr>
          <w:p w14:paraId="2049294C" w14:textId="77777777" w:rsidR="0067536C" w:rsidRPr="00975B07" w:rsidRDefault="0067536C" w:rsidP="0067536C">
            <w:pPr>
              <w:rPr>
                <w:rStyle w:val="Firstpagetablebold"/>
              </w:rPr>
            </w:pPr>
            <w:r w:rsidRPr="00975B07">
              <w:rPr>
                <w:rStyle w:val="Firstpagetablebold"/>
              </w:rPr>
              <w:t>Report of:</w:t>
            </w:r>
          </w:p>
        </w:tc>
        <w:tc>
          <w:tcPr>
            <w:tcW w:w="6406" w:type="dxa"/>
            <w:shd w:val="clear" w:color="auto" w:fill="auto"/>
          </w:tcPr>
          <w:p w14:paraId="31C202AE" w14:textId="75668CED" w:rsidR="0067536C" w:rsidRPr="009E30E2" w:rsidRDefault="0067536C" w:rsidP="0067536C">
            <w:pPr>
              <w:rPr>
                <w:rStyle w:val="Firstpagetablebold"/>
                <w:color w:val="auto"/>
              </w:rPr>
            </w:pPr>
            <w:r>
              <w:rPr>
                <w:rStyle w:val="Firstpagetablebold"/>
                <w:rFonts w:cs="Arial"/>
                <w:b w:val="0"/>
                <w:color w:val="auto"/>
              </w:rPr>
              <w:t>Deputy Chief Executive, Citizen and City Services</w:t>
            </w:r>
          </w:p>
        </w:tc>
      </w:tr>
      <w:tr w:rsidR="0067536C" w:rsidRPr="00975B07" w14:paraId="312CDF01" w14:textId="77777777" w:rsidTr="62B73EE3">
        <w:tc>
          <w:tcPr>
            <w:tcW w:w="2438" w:type="dxa"/>
            <w:shd w:val="clear" w:color="auto" w:fill="auto"/>
          </w:tcPr>
          <w:p w14:paraId="08DE1E88" w14:textId="77777777" w:rsidR="0067536C" w:rsidRPr="00975B07" w:rsidRDefault="0067536C" w:rsidP="0067536C">
            <w:pPr>
              <w:rPr>
                <w:rStyle w:val="Firstpagetablebold"/>
              </w:rPr>
            </w:pPr>
            <w:r w:rsidRPr="00975B07">
              <w:rPr>
                <w:rStyle w:val="Firstpagetablebold"/>
              </w:rPr>
              <w:t xml:space="preserve">Title of Report: </w:t>
            </w:r>
          </w:p>
        </w:tc>
        <w:tc>
          <w:tcPr>
            <w:tcW w:w="6406" w:type="dxa"/>
            <w:shd w:val="clear" w:color="auto" w:fill="auto"/>
          </w:tcPr>
          <w:p w14:paraId="4C45E9F3" w14:textId="7D49A7F6" w:rsidR="0067536C" w:rsidRPr="009E30E2" w:rsidRDefault="003543B0" w:rsidP="0067536C">
            <w:pPr>
              <w:rPr>
                <w:rStyle w:val="Firstpagetablebold"/>
                <w:color w:val="auto"/>
              </w:rPr>
            </w:pPr>
            <w:r>
              <w:rPr>
                <w:rStyle w:val="Firstpagetablebold"/>
                <w:rFonts w:cs="Arial"/>
                <w:b w:val="0"/>
                <w:color w:val="auto"/>
              </w:rPr>
              <w:t>Deferral of the commencement of the Hackney Carriage Vehicle</w:t>
            </w:r>
            <w:r w:rsidRPr="00CA34D9">
              <w:rPr>
                <w:rStyle w:val="Firstpagetablebold"/>
                <w:rFonts w:cs="Arial"/>
                <w:b w:val="0"/>
                <w:color w:val="auto"/>
              </w:rPr>
              <w:t xml:space="preserve"> Emission Standards</w:t>
            </w:r>
          </w:p>
        </w:tc>
      </w:tr>
    </w:tbl>
    <w:p w14:paraId="2173E708" w14:textId="77777777" w:rsidR="004F20EF" w:rsidRDefault="004F20EF" w:rsidP="004A6D2F"/>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438"/>
        <w:gridCol w:w="6407"/>
      </w:tblGrid>
      <w:tr w:rsidR="00D5547E" w14:paraId="30A8EDD0" w14:textId="77777777" w:rsidTr="0080749A">
        <w:tc>
          <w:tcPr>
            <w:tcW w:w="8845" w:type="dxa"/>
            <w:gridSpan w:val="2"/>
            <w:tcBorders>
              <w:bottom w:val="single" w:sz="8" w:space="0" w:color="000000"/>
            </w:tcBorders>
            <w:hideMark/>
          </w:tcPr>
          <w:p w14:paraId="7672E430" w14:textId="77777777" w:rsidR="00D5547E" w:rsidRDefault="00745BF0" w:rsidP="00745BF0">
            <w:pPr>
              <w:jc w:val="center"/>
              <w:rPr>
                <w:rStyle w:val="Firstpagetablebold"/>
              </w:rPr>
            </w:pPr>
            <w:r>
              <w:rPr>
                <w:rStyle w:val="Firstpagetablebold"/>
              </w:rPr>
              <w:t>Summary and r</w:t>
            </w:r>
            <w:r w:rsidR="00D5547E">
              <w:rPr>
                <w:rStyle w:val="Firstpagetablebold"/>
              </w:rPr>
              <w:t>ecommendations</w:t>
            </w:r>
          </w:p>
        </w:tc>
      </w:tr>
      <w:tr w:rsidR="00D5547E" w14:paraId="01894138" w14:textId="77777777" w:rsidTr="0080749A">
        <w:tc>
          <w:tcPr>
            <w:tcW w:w="2438" w:type="dxa"/>
            <w:tcBorders>
              <w:top w:val="single" w:sz="8" w:space="0" w:color="000000"/>
              <w:left w:val="single" w:sz="8" w:space="0" w:color="000000"/>
              <w:bottom w:val="nil"/>
              <w:right w:val="nil"/>
            </w:tcBorders>
            <w:hideMark/>
          </w:tcPr>
          <w:p w14:paraId="5BB81F73" w14:textId="120319E8" w:rsidR="00D5547E" w:rsidRDefault="00025250">
            <w:pPr>
              <w:rPr>
                <w:rStyle w:val="Firstpagetablebold"/>
              </w:rPr>
            </w:pPr>
            <w:r>
              <w:rPr>
                <w:rStyle w:val="Firstpagetablebold"/>
              </w:rPr>
              <w:t>Decision being taken</w:t>
            </w:r>
            <w:r w:rsidR="00D5547E">
              <w:rPr>
                <w:rStyle w:val="Firstpagetablebold"/>
              </w:rPr>
              <w:t>:</w:t>
            </w:r>
          </w:p>
        </w:tc>
        <w:tc>
          <w:tcPr>
            <w:tcW w:w="6407" w:type="dxa"/>
            <w:tcBorders>
              <w:top w:val="single" w:sz="8" w:space="0" w:color="000000"/>
              <w:left w:val="nil"/>
              <w:bottom w:val="nil"/>
              <w:right w:val="single" w:sz="8" w:space="0" w:color="000000"/>
            </w:tcBorders>
            <w:hideMark/>
          </w:tcPr>
          <w:p w14:paraId="419B6548" w14:textId="1429CBE3" w:rsidR="00D5547E" w:rsidRPr="009E30E2" w:rsidRDefault="00FE5114" w:rsidP="00DB7AD7">
            <w:pPr>
              <w:rPr>
                <w:color w:val="auto"/>
              </w:rPr>
            </w:pPr>
            <w:r w:rsidRPr="002D1230">
              <w:rPr>
                <w:color w:val="auto"/>
              </w:rPr>
              <w:t>To consider a delay to the</w:t>
            </w:r>
            <w:r>
              <w:rPr>
                <w:color w:val="auto"/>
              </w:rPr>
              <w:t xml:space="preserve"> final phase of</w:t>
            </w:r>
            <w:r w:rsidRPr="002D1230">
              <w:rPr>
                <w:color w:val="auto"/>
              </w:rPr>
              <w:t xml:space="preserve"> emission standards for Hackney Carriage Vehicles licensed by this Authority</w:t>
            </w:r>
            <w:r>
              <w:rPr>
                <w:color w:val="auto"/>
              </w:rPr>
              <w:t>.</w:t>
            </w:r>
          </w:p>
        </w:tc>
      </w:tr>
      <w:tr w:rsidR="00C53C6D" w14:paraId="43BD728D" w14:textId="77777777" w:rsidTr="0080749A">
        <w:tc>
          <w:tcPr>
            <w:tcW w:w="2438" w:type="dxa"/>
            <w:tcBorders>
              <w:top w:val="nil"/>
              <w:left w:val="single" w:sz="8" w:space="0" w:color="000000"/>
              <w:bottom w:val="nil"/>
              <w:right w:val="nil"/>
            </w:tcBorders>
            <w:hideMark/>
          </w:tcPr>
          <w:p w14:paraId="0997AE74" w14:textId="77777777" w:rsidR="00C53C6D" w:rsidRDefault="00C53C6D" w:rsidP="00C53C6D">
            <w:pPr>
              <w:rPr>
                <w:rStyle w:val="Firstpagetablebold"/>
              </w:rPr>
            </w:pPr>
            <w:r>
              <w:rPr>
                <w:rStyle w:val="Firstpagetablebold"/>
              </w:rPr>
              <w:t>Key decision:</w:t>
            </w:r>
          </w:p>
        </w:tc>
        <w:tc>
          <w:tcPr>
            <w:tcW w:w="6407" w:type="dxa"/>
            <w:tcBorders>
              <w:top w:val="nil"/>
              <w:left w:val="nil"/>
              <w:bottom w:val="nil"/>
              <w:right w:val="single" w:sz="8" w:space="0" w:color="000000"/>
            </w:tcBorders>
            <w:hideMark/>
          </w:tcPr>
          <w:p w14:paraId="1F1621C6" w14:textId="77777777" w:rsidR="00C53C6D" w:rsidRDefault="00C53C6D" w:rsidP="00C53C6D">
            <w:r>
              <w:t>Yes</w:t>
            </w:r>
          </w:p>
          <w:p w14:paraId="1B0C58F5" w14:textId="2F1A6001" w:rsidR="00C53C6D" w:rsidRPr="009E30E2" w:rsidRDefault="00C53C6D" w:rsidP="00C53C6D">
            <w:pPr>
              <w:rPr>
                <w:color w:val="auto"/>
              </w:rPr>
            </w:pPr>
            <w:hyperlink r:id="rId11" w:history="1">
              <w:r w:rsidRPr="00874B08">
                <w:rPr>
                  <w:rStyle w:val="Hyperlink"/>
                </w:rPr>
                <w:t>Issue details - Hackney Carriage Vehicle Emission Standards | Oxford City Council</w:t>
              </w:r>
            </w:hyperlink>
          </w:p>
        </w:tc>
      </w:tr>
      <w:tr w:rsidR="00C53C6D" w14:paraId="10A3E36F" w14:textId="77777777" w:rsidTr="0080749A">
        <w:tc>
          <w:tcPr>
            <w:tcW w:w="2438" w:type="dxa"/>
            <w:tcBorders>
              <w:top w:val="nil"/>
              <w:left w:val="single" w:sz="8" w:space="0" w:color="000000"/>
              <w:bottom w:val="nil"/>
              <w:right w:val="nil"/>
            </w:tcBorders>
            <w:hideMark/>
          </w:tcPr>
          <w:p w14:paraId="55E06E9D" w14:textId="77777777" w:rsidR="00C53C6D" w:rsidRDefault="00C53C6D" w:rsidP="00C53C6D">
            <w:pPr>
              <w:rPr>
                <w:rStyle w:val="Firstpagetablebold"/>
              </w:rPr>
            </w:pPr>
            <w:r>
              <w:rPr>
                <w:rStyle w:val="Firstpagetablebold"/>
              </w:rPr>
              <w:t>Cabinet Member:</w:t>
            </w:r>
          </w:p>
        </w:tc>
        <w:tc>
          <w:tcPr>
            <w:tcW w:w="6407" w:type="dxa"/>
            <w:tcBorders>
              <w:top w:val="nil"/>
              <w:left w:val="nil"/>
              <w:bottom w:val="nil"/>
              <w:right w:val="single" w:sz="8" w:space="0" w:color="000000"/>
            </w:tcBorders>
            <w:hideMark/>
          </w:tcPr>
          <w:p w14:paraId="1E006809" w14:textId="4998666A" w:rsidR="00C53C6D" w:rsidRPr="009E30E2" w:rsidRDefault="00E522DB" w:rsidP="00C53C6D">
            <w:pPr>
              <w:rPr>
                <w:color w:val="auto"/>
              </w:rPr>
            </w:pPr>
            <w:r>
              <w:rPr>
                <w:color w:val="auto"/>
              </w:rPr>
              <w:t>C</w:t>
            </w:r>
            <w:r>
              <w:t xml:space="preserve">ouncillor Anna Railton. </w:t>
            </w:r>
            <w:r w:rsidRPr="00874B08">
              <w:t>Deputy Leader, and Cabinet Member for a Zero Carbon Oxford</w:t>
            </w:r>
          </w:p>
        </w:tc>
      </w:tr>
      <w:tr w:rsidR="00C53C6D" w14:paraId="7B700325" w14:textId="77777777" w:rsidTr="0097170F">
        <w:tc>
          <w:tcPr>
            <w:tcW w:w="2438" w:type="dxa"/>
            <w:tcBorders>
              <w:top w:val="nil"/>
              <w:left w:val="single" w:sz="8" w:space="0" w:color="000000"/>
              <w:bottom w:val="nil"/>
              <w:right w:val="nil"/>
            </w:tcBorders>
          </w:tcPr>
          <w:p w14:paraId="7A58DBB5" w14:textId="77777777" w:rsidR="00C53C6D" w:rsidRDefault="00C53C6D" w:rsidP="00C53C6D">
            <w:pPr>
              <w:rPr>
                <w:rStyle w:val="Firstpagetablebold"/>
              </w:rPr>
            </w:pPr>
            <w:r>
              <w:rPr>
                <w:rStyle w:val="Firstpagetablebold"/>
              </w:rPr>
              <w:t>Corporate Priority:</w:t>
            </w:r>
          </w:p>
        </w:tc>
        <w:tc>
          <w:tcPr>
            <w:tcW w:w="6407" w:type="dxa"/>
            <w:tcBorders>
              <w:top w:val="nil"/>
              <w:left w:val="nil"/>
              <w:bottom w:val="nil"/>
              <w:right w:val="single" w:sz="8" w:space="0" w:color="000000"/>
            </w:tcBorders>
          </w:tcPr>
          <w:p w14:paraId="3DF1AC69" w14:textId="72F77BF6" w:rsidR="00C53C6D" w:rsidRPr="009E30E2" w:rsidRDefault="008B3D3D" w:rsidP="00C53C6D">
            <w:pPr>
              <w:rPr>
                <w:color w:val="auto"/>
              </w:rPr>
            </w:pPr>
            <w:r w:rsidRPr="000E495B">
              <w:rPr>
                <w:color w:val="auto"/>
              </w:rPr>
              <w:t>S</w:t>
            </w:r>
            <w:r w:rsidRPr="000E495B">
              <w:t xml:space="preserve">trong, </w:t>
            </w:r>
            <w:r>
              <w:t>F</w:t>
            </w:r>
            <w:r w:rsidRPr="000E495B">
              <w:t xml:space="preserve">air </w:t>
            </w:r>
            <w:r>
              <w:t>E</w:t>
            </w:r>
            <w:r w:rsidRPr="000E495B">
              <w:t>conomy</w:t>
            </w:r>
            <w:r>
              <w:t>;</w:t>
            </w:r>
            <w:r w:rsidRPr="000E495B">
              <w:t xml:space="preserve"> </w:t>
            </w:r>
            <w:r>
              <w:t>T</w:t>
            </w:r>
            <w:r w:rsidRPr="000E495B">
              <w:t>hriving Communities</w:t>
            </w:r>
            <w:r>
              <w:t>; Zero Carbon Oxford.</w:t>
            </w:r>
          </w:p>
        </w:tc>
      </w:tr>
      <w:tr w:rsidR="00C53C6D" w14:paraId="63186D5F" w14:textId="77777777" w:rsidTr="0097170F">
        <w:tc>
          <w:tcPr>
            <w:tcW w:w="2438" w:type="dxa"/>
            <w:tcBorders>
              <w:top w:val="nil"/>
              <w:left w:val="single" w:sz="8" w:space="0" w:color="000000"/>
              <w:bottom w:val="single" w:sz="4" w:space="0" w:color="auto"/>
              <w:right w:val="nil"/>
            </w:tcBorders>
            <w:hideMark/>
          </w:tcPr>
          <w:p w14:paraId="13359BD4" w14:textId="77777777" w:rsidR="00C53C6D" w:rsidRDefault="00C53C6D" w:rsidP="00C53C6D">
            <w:pPr>
              <w:rPr>
                <w:rStyle w:val="Firstpagetablebold"/>
              </w:rPr>
            </w:pPr>
            <w:r>
              <w:rPr>
                <w:rStyle w:val="Firstpagetablebold"/>
              </w:rPr>
              <w:t>Policy Framework:</w:t>
            </w:r>
          </w:p>
        </w:tc>
        <w:tc>
          <w:tcPr>
            <w:tcW w:w="6407" w:type="dxa"/>
            <w:tcBorders>
              <w:top w:val="nil"/>
              <w:left w:val="nil"/>
              <w:bottom w:val="single" w:sz="4" w:space="0" w:color="auto"/>
              <w:right w:val="single" w:sz="8" w:space="0" w:color="000000"/>
            </w:tcBorders>
            <w:hideMark/>
          </w:tcPr>
          <w:p w14:paraId="0AA7D163" w14:textId="2B7682BE" w:rsidR="00C53C6D" w:rsidRPr="009E30E2" w:rsidRDefault="00204C9A" w:rsidP="00C53C6D">
            <w:pPr>
              <w:rPr>
                <w:color w:val="auto"/>
              </w:rPr>
            </w:pPr>
            <w:r>
              <w:rPr>
                <w:color w:val="auto"/>
              </w:rPr>
              <w:t>N</w:t>
            </w:r>
            <w:r>
              <w:t>o</w:t>
            </w:r>
          </w:p>
        </w:tc>
      </w:tr>
    </w:tbl>
    <w:p w14:paraId="3B28CE5F" w14:textId="77777777" w:rsidR="00CE544A" w:rsidRDefault="00CE544A" w:rsidP="004A6D2F"/>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26"/>
        <w:gridCol w:w="8419"/>
      </w:tblGrid>
      <w:tr w:rsidR="00025250" w:rsidRPr="00975B07" w14:paraId="75BF65A5" w14:textId="77777777" w:rsidTr="62B73EE3">
        <w:trPr>
          <w:trHeight w:val="413"/>
        </w:trPr>
        <w:tc>
          <w:tcPr>
            <w:tcW w:w="8845" w:type="dxa"/>
            <w:gridSpan w:val="2"/>
            <w:tcBorders>
              <w:bottom w:val="single" w:sz="8" w:space="0" w:color="000000" w:themeColor="text1"/>
            </w:tcBorders>
          </w:tcPr>
          <w:p w14:paraId="18FB24CC" w14:textId="140E9700" w:rsidR="00025250" w:rsidRPr="00975B07" w:rsidRDefault="00025250" w:rsidP="00FD0B08">
            <w:r w:rsidRPr="62B73EE3">
              <w:rPr>
                <w:rStyle w:val="Firstpagetablebold"/>
              </w:rPr>
              <w:t>Recommendation(s):</w:t>
            </w:r>
            <w:r w:rsidR="571C62E4" w:rsidRPr="62B73EE3">
              <w:rPr>
                <w:rStyle w:val="Firstpagetablebold"/>
              </w:rPr>
              <w:t xml:space="preserve"> </w:t>
            </w:r>
            <w:r w:rsidRPr="62B73EE3">
              <w:rPr>
                <w:rStyle w:val="Firstpagetablebold"/>
                <w:b w:val="0"/>
              </w:rPr>
              <w:t>That Cabinet resolves to:</w:t>
            </w:r>
          </w:p>
        </w:tc>
      </w:tr>
      <w:tr w:rsidR="00025250" w:rsidRPr="00975B07" w14:paraId="2BFBBF69" w14:textId="77777777" w:rsidTr="62B73EE3">
        <w:trPr>
          <w:trHeight w:val="283"/>
        </w:trPr>
        <w:tc>
          <w:tcPr>
            <w:tcW w:w="426" w:type="dxa"/>
            <w:tcBorders>
              <w:top w:val="nil"/>
              <w:left w:val="single" w:sz="8" w:space="0" w:color="000000" w:themeColor="text1"/>
              <w:bottom w:val="single" w:sz="8" w:space="0" w:color="000000" w:themeColor="text1"/>
              <w:right w:val="nil"/>
            </w:tcBorders>
          </w:tcPr>
          <w:p w14:paraId="328750F8" w14:textId="5571B198" w:rsidR="00025250" w:rsidRPr="00975B07" w:rsidRDefault="00865A0A" w:rsidP="00FD0B08">
            <w:r>
              <w:t>1</w:t>
            </w:r>
            <w:r w:rsidR="00025250" w:rsidRPr="00975B07">
              <w:t>.</w:t>
            </w:r>
          </w:p>
        </w:tc>
        <w:tc>
          <w:tcPr>
            <w:tcW w:w="8419" w:type="dxa"/>
            <w:tcBorders>
              <w:top w:val="nil"/>
              <w:left w:val="nil"/>
              <w:bottom w:val="single" w:sz="8" w:space="0" w:color="000000" w:themeColor="text1"/>
              <w:right w:val="single" w:sz="8" w:space="0" w:color="000000" w:themeColor="text1"/>
            </w:tcBorders>
            <w:shd w:val="clear" w:color="auto" w:fill="auto"/>
          </w:tcPr>
          <w:p w14:paraId="0C3A19C8" w14:textId="6F45D9B1" w:rsidR="00025250" w:rsidRPr="001356F1" w:rsidRDefault="00865A0A" w:rsidP="00FD0B08">
            <w:r w:rsidRPr="00AF4E78">
              <w:rPr>
                <w:b/>
                <w:bCs/>
              </w:rPr>
              <w:t xml:space="preserve">Approve </w:t>
            </w:r>
            <w:r>
              <w:t xml:space="preserve">the delay to the implementation on the 1 January 2026 of the Ultra-Low Emissions Vehicle Standards for hackney carriage vehicles, to be revisited by such successor organisation that results from Local Government Reorganisation </w:t>
            </w:r>
          </w:p>
        </w:tc>
      </w:tr>
    </w:tbl>
    <w:p w14:paraId="7D5A6705" w14:textId="77777777" w:rsidR="00025250" w:rsidRDefault="00025250" w:rsidP="004A6D2F"/>
    <w:tbl>
      <w:tblPr>
        <w:tblW w:w="0" w:type="auto"/>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2438"/>
        <w:gridCol w:w="6407"/>
      </w:tblGrid>
      <w:tr w:rsidR="00025250" w:rsidRPr="003E4C33" w14:paraId="67F8F7AF" w14:textId="77777777" w:rsidTr="00C85C32">
        <w:trPr>
          <w:trHeight w:val="300"/>
        </w:trPr>
        <w:tc>
          <w:tcPr>
            <w:tcW w:w="8845" w:type="dxa"/>
            <w:gridSpan w:val="2"/>
            <w:tcBorders>
              <w:bottom w:val="single" w:sz="4" w:space="0" w:color="auto"/>
            </w:tcBorders>
            <w:hideMark/>
          </w:tcPr>
          <w:p w14:paraId="59493166" w14:textId="77777777" w:rsidR="00025250" w:rsidRPr="003E4C33" w:rsidRDefault="00025250" w:rsidP="00FD0B08">
            <w:pPr>
              <w:jc w:val="center"/>
              <w:rPr>
                <w:rStyle w:val="Firstpagetablebold"/>
                <w:rFonts w:cs="Arial"/>
              </w:rPr>
            </w:pPr>
            <w:r w:rsidRPr="003E4C33">
              <w:rPr>
                <w:rStyle w:val="Firstpagetablebold"/>
                <w:rFonts w:cs="Arial"/>
              </w:rPr>
              <w:t xml:space="preserve">Information Exempt From Publication </w:t>
            </w:r>
          </w:p>
        </w:tc>
      </w:tr>
      <w:tr w:rsidR="00C85C32" w:rsidRPr="003E4C33" w14:paraId="40623F28" w14:textId="77777777" w:rsidTr="008254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189"/>
        </w:trPr>
        <w:tc>
          <w:tcPr>
            <w:tcW w:w="2438" w:type="dxa"/>
            <w:tcBorders>
              <w:top w:val="single" w:sz="4" w:space="0" w:color="auto"/>
              <w:left w:val="single" w:sz="4" w:space="0" w:color="auto"/>
              <w:right w:val="single" w:sz="4" w:space="0" w:color="auto"/>
            </w:tcBorders>
          </w:tcPr>
          <w:p w14:paraId="5542E86A" w14:textId="5F6AEC8C" w:rsidR="00C85C32" w:rsidRPr="009E30E2" w:rsidRDefault="00C85C32" w:rsidP="00FD0B08">
            <w:pPr>
              <w:rPr>
                <w:rStyle w:val="Firstpagetablebold"/>
                <w:rFonts w:cs="Arial"/>
              </w:rPr>
            </w:pPr>
            <w:r>
              <w:rPr>
                <w:rStyle w:val="Firstpagetablebold"/>
                <w:rFonts w:cs="Arial"/>
              </w:rPr>
              <w:t xml:space="preserve">Appendix </w:t>
            </w:r>
            <w:r w:rsidR="0082545B">
              <w:rPr>
                <w:rStyle w:val="Firstpagetablebold"/>
                <w:rFonts w:cs="Arial"/>
              </w:rPr>
              <w:t>1</w:t>
            </w:r>
            <w:r>
              <w:rPr>
                <w:rStyle w:val="Firstpagetablebold"/>
                <w:rFonts w:cs="Arial"/>
              </w:rPr>
              <w:t xml:space="preserve"> – Advice from Counsel </w:t>
            </w:r>
          </w:p>
        </w:tc>
        <w:tc>
          <w:tcPr>
            <w:tcW w:w="6407" w:type="dxa"/>
            <w:tcBorders>
              <w:top w:val="single" w:sz="4" w:space="0" w:color="auto"/>
              <w:left w:val="single" w:sz="4" w:space="0" w:color="auto"/>
              <w:bottom w:val="single" w:sz="4" w:space="0" w:color="auto"/>
              <w:right w:val="single" w:sz="4" w:space="0" w:color="auto"/>
            </w:tcBorders>
          </w:tcPr>
          <w:p w14:paraId="4C0E204C" w14:textId="36E3B023" w:rsidR="00C85C32" w:rsidRDefault="00C85C32" w:rsidP="00C85C32">
            <w:pPr>
              <w:rPr>
                <w:rFonts w:cs="Arial"/>
                <w:color w:val="auto"/>
              </w:rPr>
            </w:pPr>
            <w:r w:rsidRPr="62B73EE3">
              <w:rPr>
                <w:rFonts w:cs="Arial"/>
                <w:color w:val="auto"/>
              </w:rPr>
              <w:t xml:space="preserve">This information is exempted from publication under </w:t>
            </w:r>
            <w:r w:rsidRPr="62B73EE3">
              <w:rPr>
                <w:rFonts w:cs="Arial"/>
              </w:rPr>
              <w:t>Schedule 12A to the Local Government Act 1972:</w:t>
            </w:r>
          </w:p>
          <w:p w14:paraId="5064A6DD" w14:textId="770E6F55" w:rsidR="00C85C32" w:rsidRPr="0082545B" w:rsidRDefault="0082545B" w:rsidP="0082545B">
            <w:pPr>
              <w:ind w:left="360" w:hanging="47"/>
              <w:rPr>
                <w:rFonts w:cs="Arial"/>
                <w:color w:val="auto"/>
              </w:rPr>
            </w:pPr>
            <w:r>
              <w:rPr>
                <w:rFonts w:cs="Arial"/>
                <w:color w:val="auto"/>
              </w:rPr>
              <w:t xml:space="preserve"> </w:t>
            </w:r>
            <w:r w:rsidR="00C85C32">
              <w:rPr>
                <w:rFonts w:cs="Arial"/>
                <w:color w:val="auto"/>
              </w:rPr>
              <w:t xml:space="preserve">This is </w:t>
            </w:r>
            <w:r w:rsidR="00C85C32" w:rsidRPr="00C85C32">
              <w:rPr>
                <w:rFonts w:cs="Arial"/>
                <w:color w:val="auto"/>
              </w:rPr>
              <w:t xml:space="preserve">Information that could be considered legally privileged Information in respect of which a claim to legal professional privilege could be maintained in legal proceedings  </w:t>
            </w:r>
          </w:p>
        </w:tc>
      </w:tr>
    </w:tbl>
    <w:p w14:paraId="3E3DC543" w14:textId="77777777" w:rsidR="00025250" w:rsidRDefault="00025250" w:rsidP="004A6D2F"/>
    <w:tbl>
      <w:tblPr>
        <w:tblW w:w="0" w:type="auto"/>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912"/>
        <w:gridCol w:w="2803"/>
        <w:gridCol w:w="4455"/>
      </w:tblGrid>
      <w:tr w:rsidR="002312EA" w:rsidRPr="003E4C33" w14:paraId="469C2CEE" w14:textId="77777777" w:rsidTr="62B73EE3">
        <w:trPr>
          <w:trHeight w:val="300"/>
        </w:trPr>
        <w:tc>
          <w:tcPr>
            <w:tcW w:w="1912" w:type="dxa"/>
            <w:tcBorders>
              <w:bottom w:val="single" w:sz="4" w:space="0" w:color="auto"/>
            </w:tcBorders>
          </w:tcPr>
          <w:p w14:paraId="06B4268A" w14:textId="77777777" w:rsidR="002312EA" w:rsidRPr="003E4C33" w:rsidRDefault="002312EA" w:rsidP="00FD0B08">
            <w:pPr>
              <w:jc w:val="center"/>
              <w:rPr>
                <w:rStyle w:val="Firstpagetablebold"/>
                <w:rFonts w:cs="Arial"/>
              </w:rPr>
            </w:pPr>
            <w:r>
              <w:rPr>
                <w:rStyle w:val="Firstpagetablebold"/>
                <w:rFonts w:cs="Arial"/>
              </w:rPr>
              <w:lastRenderedPageBreak/>
              <w:t>A</w:t>
            </w:r>
            <w:r>
              <w:rPr>
                <w:rStyle w:val="Firstpagetablebold"/>
              </w:rPr>
              <w:t>ppendix No.</w:t>
            </w:r>
          </w:p>
        </w:tc>
        <w:tc>
          <w:tcPr>
            <w:tcW w:w="2803" w:type="dxa"/>
            <w:tcBorders>
              <w:bottom w:val="single" w:sz="4" w:space="0" w:color="auto"/>
            </w:tcBorders>
          </w:tcPr>
          <w:p w14:paraId="48373E4B" w14:textId="77777777" w:rsidR="002312EA" w:rsidRPr="003E4C33" w:rsidRDefault="002312EA" w:rsidP="00FD0B08">
            <w:pPr>
              <w:jc w:val="center"/>
              <w:rPr>
                <w:rStyle w:val="Firstpagetablebold"/>
                <w:rFonts w:cs="Arial"/>
              </w:rPr>
            </w:pPr>
            <w:r>
              <w:rPr>
                <w:rStyle w:val="Firstpagetablebold"/>
                <w:rFonts w:cs="Arial"/>
              </w:rPr>
              <w:t xml:space="preserve">Appendix Title </w:t>
            </w:r>
          </w:p>
        </w:tc>
        <w:tc>
          <w:tcPr>
            <w:tcW w:w="4455" w:type="dxa"/>
            <w:tcBorders>
              <w:bottom w:val="single" w:sz="4" w:space="0" w:color="auto"/>
            </w:tcBorders>
          </w:tcPr>
          <w:p w14:paraId="0A5DAC00" w14:textId="77777777" w:rsidR="002312EA" w:rsidRPr="003E4C33" w:rsidRDefault="002312EA" w:rsidP="00FD0B08">
            <w:pPr>
              <w:jc w:val="center"/>
              <w:rPr>
                <w:rStyle w:val="Firstpagetablebold"/>
                <w:rFonts w:cs="Arial"/>
              </w:rPr>
            </w:pPr>
            <w:r>
              <w:rPr>
                <w:rStyle w:val="Firstpagetablebold"/>
                <w:rFonts w:cs="Arial"/>
              </w:rPr>
              <w:t>Exempt from Publication</w:t>
            </w:r>
          </w:p>
        </w:tc>
      </w:tr>
      <w:tr w:rsidR="002312EA" w:rsidRPr="003E4C33" w14:paraId="43C48BEB" w14:textId="77777777" w:rsidTr="62B73EE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00"/>
        </w:trPr>
        <w:tc>
          <w:tcPr>
            <w:tcW w:w="1912" w:type="dxa"/>
            <w:tcBorders>
              <w:top w:val="single" w:sz="4" w:space="0" w:color="auto"/>
              <w:left w:val="single" w:sz="4" w:space="0" w:color="auto"/>
              <w:bottom w:val="single" w:sz="4" w:space="0" w:color="auto"/>
              <w:right w:val="single" w:sz="4" w:space="0" w:color="auto"/>
            </w:tcBorders>
          </w:tcPr>
          <w:p w14:paraId="70747163" w14:textId="77777777" w:rsidR="002312EA" w:rsidRPr="009E30E2" w:rsidRDefault="002312EA" w:rsidP="00FD0B08">
            <w:pPr>
              <w:rPr>
                <w:rStyle w:val="Firstpagetablebold"/>
                <w:rFonts w:cs="Arial"/>
                <w:color w:val="auto"/>
              </w:rPr>
            </w:pPr>
            <w:r w:rsidRPr="009E30E2">
              <w:rPr>
                <w:rStyle w:val="Firstpagetablebold"/>
                <w:rFonts w:cs="Arial"/>
                <w:color w:val="auto"/>
              </w:rPr>
              <w:t>Appendix 1</w:t>
            </w:r>
          </w:p>
        </w:tc>
        <w:tc>
          <w:tcPr>
            <w:tcW w:w="2803" w:type="dxa"/>
            <w:tcBorders>
              <w:top w:val="single" w:sz="4" w:space="0" w:color="auto"/>
              <w:left w:val="single" w:sz="4" w:space="0" w:color="auto"/>
              <w:bottom w:val="single" w:sz="4" w:space="0" w:color="auto"/>
              <w:right w:val="single" w:sz="4" w:space="0" w:color="auto"/>
            </w:tcBorders>
          </w:tcPr>
          <w:p w14:paraId="3E2ED561" w14:textId="4DFA2F19" w:rsidR="002312EA" w:rsidRPr="009E30E2" w:rsidRDefault="0082545B" w:rsidP="00FD0B08">
            <w:pPr>
              <w:rPr>
                <w:rFonts w:cs="Arial"/>
                <w:color w:val="auto"/>
              </w:rPr>
            </w:pPr>
            <w:r>
              <w:rPr>
                <w:rFonts w:cs="Arial"/>
                <w:color w:val="auto"/>
              </w:rPr>
              <w:t>A</w:t>
            </w:r>
            <w:r>
              <w:rPr>
                <w:color w:val="auto"/>
              </w:rPr>
              <w:t xml:space="preserve">dvice from Counsel </w:t>
            </w:r>
          </w:p>
        </w:tc>
        <w:tc>
          <w:tcPr>
            <w:tcW w:w="4455" w:type="dxa"/>
            <w:tcBorders>
              <w:top w:val="single" w:sz="4" w:space="0" w:color="auto"/>
              <w:left w:val="single" w:sz="4" w:space="0" w:color="auto"/>
              <w:bottom w:val="single" w:sz="4" w:space="0" w:color="auto"/>
              <w:right w:val="single" w:sz="4" w:space="0" w:color="auto"/>
            </w:tcBorders>
          </w:tcPr>
          <w:p w14:paraId="25BCD22A" w14:textId="69FA8468" w:rsidR="002312EA" w:rsidRPr="009E30E2" w:rsidRDefault="002312EA" w:rsidP="00FD0B08">
            <w:pPr>
              <w:ind w:left="426" w:hanging="426"/>
              <w:rPr>
                <w:color w:val="auto"/>
              </w:rPr>
            </w:pPr>
            <w:r w:rsidRPr="009E30E2">
              <w:rPr>
                <w:color w:val="auto"/>
              </w:rPr>
              <w:t>Yes</w:t>
            </w:r>
          </w:p>
          <w:p w14:paraId="7E6F0805" w14:textId="77777777" w:rsidR="002312EA" w:rsidRPr="009E30E2" w:rsidRDefault="002312EA" w:rsidP="00FD0B08">
            <w:pPr>
              <w:rPr>
                <w:rFonts w:cs="Arial"/>
                <w:color w:val="auto"/>
              </w:rPr>
            </w:pPr>
            <w:r w:rsidRPr="009E30E2">
              <w:rPr>
                <w:rFonts w:cs="Arial"/>
                <w:color w:val="auto"/>
              </w:rPr>
              <w:t>This information is exempted from publication under Schedule 12A to the Local Government Act 1972 on the following basis:</w:t>
            </w:r>
          </w:p>
          <w:p w14:paraId="10716CAB" w14:textId="23850C70" w:rsidR="002312EA" w:rsidRPr="00126BF8" w:rsidRDefault="002312EA" w:rsidP="00126BF8">
            <w:pPr>
              <w:ind w:left="301"/>
              <w:rPr>
                <w:rFonts w:cs="Arial"/>
                <w:color w:val="auto"/>
              </w:rPr>
            </w:pPr>
            <w:r w:rsidRPr="00126BF8">
              <w:rPr>
                <w:rFonts w:cs="Arial"/>
                <w:color w:val="auto"/>
              </w:rPr>
              <w:t xml:space="preserve">Information that could be considered legally privileged Information in respect of which a claim to legal professional privilege could be maintained in legal proceedings </w:t>
            </w:r>
          </w:p>
          <w:p w14:paraId="349B4576" w14:textId="77777777" w:rsidR="002312EA" w:rsidRPr="00126BF8" w:rsidRDefault="002312EA" w:rsidP="00126BF8">
            <w:pPr>
              <w:rPr>
                <w:rFonts w:cs="Arial"/>
                <w:color w:val="auto"/>
              </w:rPr>
            </w:pPr>
          </w:p>
        </w:tc>
      </w:tr>
      <w:tr w:rsidR="002312EA" w:rsidRPr="003E4C33" w14:paraId="5332D292" w14:textId="77777777" w:rsidTr="62B73EE3">
        <w:trPr>
          <w:trHeight w:val="300"/>
        </w:trPr>
        <w:tc>
          <w:tcPr>
            <w:tcW w:w="1912" w:type="dxa"/>
            <w:tcBorders>
              <w:top w:val="single" w:sz="4" w:space="0" w:color="auto"/>
              <w:left w:val="single" w:sz="8" w:space="0" w:color="000000" w:themeColor="text1"/>
              <w:bottom w:val="single" w:sz="4" w:space="0" w:color="auto"/>
              <w:right w:val="single" w:sz="4" w:space="0" w:color="auto"/>
            </w:tcBorders>
          </w:tcPr>
          <w:p w14:paraId="66389E38" w14:textId="77777777" w:rsidR="002312EA" w:rsidRPr="009E30E2" w:rsidRDefault="002312EA" w:rsidP="00FD0B08">
            <w:pPr>
              <w:rPr>
                <w:rStyle w:val="Firstpagetablebold"/>
                <w:rFonts w:cs="Arial"/>
                <w:color w:val="auto"/>
              </w:rPr>
            </w:pPr>
            <w:r w:rsidRPr="009E30E2">
              <w:rPr>
                <w:rStyle w:val="Firstpagetablebold"/>
                <w:rFonts w:cs="Arial"/>
                <w:color w:val="auto"/>
              </w:rPr>
              <w:t xml:space="preserve">Appendix 2 </w:t>
            </w:r>
          </w:p>
        </w:tc>
        <w:tc>
          <w:tcPr>
            <w:tcW w:w="2803" w:type="dxa"/>
            <w:tcBorders>
              <w:top w:val="single" w:sz="4" w:space="0" w:color="auto"/>
              <w:left w:val="single" w:sz="4" w:space="0" w:color="auto"/>
              <w:bottom w:val="single" w:sz="4" w:space="0" w:color="auto"/>
              <w:right w:val="single" w:sz="4" w:space="0" w:color="auto"/>
            </w:tcBorders>
          </w:tcPr>
          <w:p w14:paraId="251AC11B" w14:textId="09B89370" w:rsidR="002312EA" w:rsidRPr="009E30E2" w:rsidRDefault="009559B1" w:rsidP="00FD0B08">
            <w:pPr>
              <w:rPr>
                <w:rFonts w:cs="Arial"/>
                <w:color w:val="auto"/>
              </w:rPr>
            </w:pPr>
            <w:r>
              <w:rPr>
                <w:rFonts w:cs="Arial"/>
                <w:color w:val="auto"/>
              </w:rPr>
              <w:t xml:space="preserve">Report to the GLPC on 22 September 2025 </w:t>
            </w:r>
          </w:p>
        </w:tc>
        <w:tc>
          <w:tcPr>
            <w:tcW w:w="4455" w:type="dxa"/>
            <w:tcBorders>
              <w:top w:val="single" w:sz="4" w:space="0" w:color="auto"/>
              <w:left w:val="single" w:sz="4" w:space="0" w:color="auto"/>
              <w:bottom w:val="single" w:sz="4" w:space="0" w:color="auto"/>
              <w:right w:val="single" w:sz="8" w:space="0" w:color="000000" w:themeColor="text1"/>
            </w:tcBorders>
          </w:tcPr>
          <w:p w14:paraId="0E6EFED4" w14:textId="72167D72" w:rsidR="002312EA" w:rsidRPr="009E30E2" w:rsidRDefault="009559B1" w:rsidP="00FD0B08">
            <w:pPr>
              <w:rPr>
                <w:rFonts w:cs="Arial"/>
                <w:color w:val="auto"/>
              </w:rPr>
            </w:pPr>
            <w:r>
              <w:rPr>
                <w:rFonts w:cs="Arial"/>
                <w:color w:val="auto"/>
              </w:rPr>
              <w:t xml:space="preserve">No </w:t>
            </w:r>
          </w:p>
        </w:tc>
      </w:tr>
      <w:tr w:rsidR="001C1415" w:rsidRPr="003E4C33" w14:paraId="1F26C40E" w14:textId="77777777" w:rsidTr="62B73EE3">
        <w:trPr>
          <w:trHeight w:val="300"/>
        </w:trPr>
        <w:tc>
          <w:tcPr>
            <w:tcW w:w="1912" w:type="dxa"/>
            <w:tcBorders>
              <w:top w:val="single" w:sz="4" w:space="0" w:color="auto"/>
              <w:left w:val="single" w:sz="8" w:space="0" w:color="000000" w:themeColor="text1"/>
              <w:bottom w:val="single" w:sz="4" w:space="0" w:color="auto"/>
              <w:right w:val="single" w:sz="4" w:space="0" w:color="auto"/>
            </w:tcBorders>
          </w:tcPr>
          <w:p w14:paraId="69ED77F0" w14:textId="396419E8" w:rsidR="001C1415" w:rsidRPr="009E30E2" w:rsidRDefault="001C1415" w:rsidP="00FD0B08">
            <w:pPr>
              <w:rPr>
                <w:rStyle w:val="Firstpagetablebold"/>
                <w:rFonts w:cs="Arial"/>
                <w:color w:val="auto"/>
              </w:rPr>
            </w:pPr>
            <w:r>
              <w:rPr>
                <w:rStyle w:val="Firstpagetablebold"/>
                <w:rFonts w:cs="Arial"/>
                <w:color w:val="auto"/>
              </w:rPr>
              <w:t>A</w:t>
            </w:r>
            <w:r>
              <w:rPr>
                <w:rStyle w:val="Firstpagetablebold"/>
              </w:rPr>
              <w:t xml:space="preserve">ppendix 3 </w:t>
            </w:r>
          </w:p>
        </w:tc>
        <w:tc>
          <w:tcPr>
            <w:tcW w:w="2803" w:type="dxa"/>
            <w:tcBorders>
              <w:top w:val="single" w:sz="4" w:space="0" w:color="auto"/>
              <w:left w:val="single" w:sz="4" w:space="0" w:color="auto"/>
              <w:bottom w:val="single" w:sz="4" w:space="0" w:color="auto"/>
              <w:right w:val="single" w:sz="4" w:space="0" w:color="auto"/>
            </w:tcBorders>
          </w:tcPr>
          <w:p w14:paraId="561F243A" w14:textId="286CBFD3" w:rsidR="001C1415" w:rsidRDefault="001C1415" w:rsidP="00FD0B08">
            <w:pPr>
              <w:rPr>
                <w:rFonts w:cs="Arial"/>
                <w:color w:val="auto"/>
              </w:rPr>
            </w:pPr>
            <w:r>
              <w:rPr>
                <w:rFonts w:cs="Arial"/>
                <w:color w:val="auto"/>
              </w:rPr>
              <w:t xml:space="preserve">COLTA delay request </w:t>
            </w:r>
          </w:p>
        </w:tc>
        <w:tc>
          <w:tcPr>
            <w:tcW w:w="4455" w:type="dxa"/>
            <w:tcBorders>
              <w:top w:val="single" w:sz="4" w:space="0" w:color="auto"/>
              <w:left w:val="single" w:sz="4" w:space="0" w:color="auto"/>
              <w:bottom w:val="single" w:sz="4" w:space="0" w:color="auto"/>
              <w:right w:val="single" w:sz="8" w:space="0" w:color="000000" w:themeColor="text1"/>
            </w:tcBorders>
          </w:tcPr>
          <w:p w14:paraId="03BDB072" w14:textId="07E71932" w:rsidR="001C1415" w:rsidRDefault="001C1415" w:rsidP="00FD0B08">
            <w:pPr>
              <w:rPr>
                <w:rFonts w:cs="Arial"/>
                <w:color w:val="auto"/>
              </w:rPr>
            </w:pPr>
            <w:r>
              <w:rPr>
                <w:rFonts w:cs="Arial"/>
                <w:color w:val="auto"/>
              </w:rPr>
              <w:t xml:space="preserve">No </w:t>
            </w:r>
          </w:p>
        </w:tc>
      </w:tr>
      <w:tr w:rsidR="003202A1" w:rsidRPr="003E4C33" w14:paraId="6967A4C4" w14:textId="77777777" w:rsidTr="62B73EE3">
        <w:trPr>
          <w:trHeight w:val="300"/>
        </w:trPr>
        <w:tc>
          <w:tcPr>
            <w:tcW w:w="1912" w:type="dxa"/>
            <w:tcBorders>
              <w:top w:val="single" w:sz="4" w:space="0" w:color="auto"/>
              <w:left w:val="single" w:sz="8" w:space="0" w:color="000000" w:themeColor="text1"/>
              <w:bottom w:val="single" w:sz="4" w:space="0" w:color="auto"/>
              <w:right w:val="single" w:sz="4" w:space="0" w:color="auto"/>
            </w:tcBorders>
          </w:tcPr>
          <w:p w14:paraId="7F2E6F29" w14:textId="50262EFE" w:rsidR="003202A1" w:rsidRDefault="003202A1" w:rsidP="003202A1">
            <w:pPr>
              <w:rPr>
                <w:rStyle w:val="Firstpagetablebold"/>
                <w:rFonts w:cs="Arial"/>
                <w:color w:val="auto"/>
              </w:rPr>
            </w:pPr>
            <w:r>
              <w:rPr>
                <w:rStyle w:val="Firstpagetablebold"/>
                <w:rFonts w:cs="Arial"/>
                <w:color w:val="auto"/>
              </w:rPr>
              <w:t>Appendix 4</w:t>
            </w:r>
          </w:p>
        </w:tc>
        <w:tc>
          <w:tcPr>
            <w:tcW w:w="2803" w:type="dxa"/>
            <w:tcBorders>
              <w:top w:val="single" w:sz="4" w:space="0" w:color="auto"/>
              <w:left w:val="single" w:sz="4" w:space="0" w:color="auto"/>
              <w:bottom w:val="single" w:sz="4" w:space="0" w:color="auto"/>
              <w:right w:val="single" w:sz="4" w:space="0" w:color="auto"/>
            </w:tcBorders>
          </w:tcPr>
          <w:p w14:paraId="336B79F9" w14:textId="6F3BB4D4" w:rsidR="003202A1" w:rsidRDefault="003202A1" w:rsidP="003202A1">
            <w:pPr>
              <w:rPr>
                <w:rFonts w:cs="Arial"/>
                <w:color w:val="auto"/>
              </w:rPr>
            </w:pPr>
            <w:r>
              <w:rPr>
                <w:rFonts w:cs="Arial"/>
                <w:color w:val="auto"/>
              </w:rPr>
              <w:t xml:space="preserve">2025 </w:t>
            </w:r>
            <w:r w:rsidRPr="00F0612E">
              <w:rPr>
                <w:rFonts w:cs="Arial"/>
                <w:color w:val="auto"/>
              </w:rPr>
              <w:t>Affordability and Emissions</w:t>
            </w:r>
            <w:r>
              <w:rPr>
                <w:rFonts w:cs="Arial"/>
                <w:color w:val="auto"/>
              </w:rPr>
              <w:t xml:space="preserve"> Report</w:t>
            </w:r>
          </w:p>
        </w:tc>
        <w:tc>
          <w:tcPr>
            <w:tcW w:w="4455" w:type="dxa"/>
            <w:tcBorders>
              <w:top w:val="single" w:sz="4" w:space="0" w:color="auto"/>
              <w:left w:val="single" w:sz="4" w:space="0" w:color="auto"/>
              <w:bottom w:val="single" w:sz="4" w:space="0" w:color="auto"/>
              <w:right w:val="single" w:sz="8" w:space="0" w:color="000000" w:themeColor="text1"/>
            </w:tcBorders>
          </w:tcPr>
          <w:p w14:paraId="3D330585" w14:textId="60950D91" w:rsidR="003202A1" w:rsidRDefault="003202A1" w:rsidP="003202A1">
            <w:pPr>
              <w:rPr>
                <w:rFonts w:cs="Arial"/>
                <w:color w:val="auto"/>
              </w:rPr>
            </w:pPr>
            <w:r>
              <w:rPr>
                <w:rFonts w:cs="Arial"/>
                <w:color w:val="auto"/>
              </w:rPr>
              <w:t>No</w:t>
            </w:r>
          </w:p>
        </w:tc>
      </w:tr>
      <w:tr w:rsidR="003202A1" w:rsidRPr="003E4C33" w14:paraId="3DB82672" w14:textId="77777777" w:rsidTr="62B73EE3">
        <w:trPr>
          <w:trHeight w:val="300"/>
        </w:trPr>
        <w:tc>
          <w:tcPr>
            <w:tcW w:w="1912" w:type="dxa"/>
            <w:tcBorders>
              <w:top w:val="single" w:sz="4" w:space="0" w:color="auto"/>
              <w:left w:val="single" w:sz="8" w:space="0" w:color="000000" w:themeColor="text1"/>
              <w:bottom w:val="single" w:sz="4" w:space="0" w:color="auto"/>
              <w:right w:val="single" w:sz="4" w:space="0" w:color="auto"/>
            </w:tcBorders>
          </w:tcPr>
          <w:p w14:paraId="3A190547" w14:textId="2999108A" w:rsidR="003202A1" w:rsidRDefault="003202A1" w:rsidP="003202A1">
            <w:pPr>
              <w:rPr>
                <w:rStyle w:val="Firstpagetablebold"/>
                <w:rFonts w:cs="Arial"/>
                <w:color w:val="auto"/>
              </w:rPr>
            </w:pPr>
            <w:r>
              <w:rPr>
                <w:rStyle w:val="Firstpagetablebold"/>
                <w:rFonts w:cs="Arial"/>
                <w:color w:val="auto"/>
              </w:rPr>
              <w:t>Appendix 5</w:t>
            </w:r>
          </w:p>
        </w:tc>
        <w:tc>
          <w:tcPr>
            <w:tcW w:w="2803" w:type="dxa"/>
            <w:tcBorders>
              <w:top w:val="single" w:sz="4" w:space="0" w:color="auto"/>
              <w:left w:val="single" w:sz="4" w:space="0" w:color="auto"/>
              <w:bottom w:val="single" w:sz="4" w:space="0" w:color="auto"/>
              <w:right w:val="single" w:sz="4" w:space="0" w:color="auto"/>
            </w:tcBorders>
          </w:tcPr>
          <w:p w14:paraId="6CEC56A6" w14:textId="51366AE3" w:rsidR="003202A1" w:rsidRDefault="003202A1" w:rsidP="003202A1">
            <w:pPr>
              <w:rPr>
                <w:rFonts w:cs="Arial"/>
                <w:color w:val="auto"/>
              </w:rPr>
            </w:pPr>
            <w:r>
              <w:rPr>
                <w:rFonts w:cs="Arial"/>
                <w:color w:val="auto"/>
              </w:rPr>
              <w:t>Equality Impact Assessment</w:t>
            </w:r>
          </w:p>
        </w:tc>
        <w:tc>
          <w:tcPr>
            <w:tcW w:w="4455" w:type="dxa"/>
            <w:tcBorders>
              <w:top w:val="single" w:sz="4" w:space="0" w:color="auto"/>
              <w:left w:val="single" w:sz="4" w:space="0" w:color="auto"/>
              <w:bottom w:val="single" w:sz="4" w:space="0" w:color="auto"/>
              <w:right w:val="single" w:sz="8" w:space="0" w:color="000000" w:themeColor="text1"/>
            </w:tcBorders>
          </w:tcPr>
          <w:p w14:paraId="41C500B0" w14:textId="2FAF5FEE" w:rsidR="003202A1" w:rsidRDefault="003202A1" w:rsidP="003202A1">
            <w:pPr>
              <w:rPr>
                <w:rFonts w:cs="Arial"/>
                <w:color w:val="auto"/>
              </w:rPr>
            </w:pPr>
            <w:r>
              <w:rPr>
                <w:rFonts w:cs="Arial"/>
                <w:color w:val="auto"/>
              </w:rPr>
              <w:t>No</w:t>
            </w:r>
          </w:p>
        </w:tc>
      </w:tr>
    </w:tbl>
    <w:p w14:paraId="572B1CF3" w14:textId="77777777" w:rsidR="002312EA" w:rsidRDefault="002312EA" w:rsidP="004A6D2F"/>
    <w:p w14:paraId="09CF7AF4" w14:textId="77777777" w:rsidR="00F92101" w:rsidRDefault="00F92101" w:rsidP="004A6D2F"/>
    <w:p w14:paraId="50E21B3B" w14:textId="77777777" w:rsidR="0040736F" w:rsidRPr="001356F1" w:rsidRDefault="00F66DCA" w:rsidP="004A6D2F">
      <w:pPr>
        <w:pStyle w:val="Heading1"/>
      </w:pPr>
      <w:r w:rsidRPr="001356F1">
        <w:t>Introduction and b</w:t>
      </w:r>
      <w:r w:rsidR="00151888" w:rsidRPr="001356F1">
        <w:t>ackground</w:t>
      </w:r>
      <w:r w:rsidR="00404032" w:rsidRPr="001356F1">
        <w:t xml:space="preserve"> </w:t>
      </w:r>
    </w:p>
    <w:p w14:paraId="66F03639" w14:textId="32861621" w:rsidR="00407710" w:rsidRDefault="00407710" w:rsidP="00407710">
      <w:pPr>
        <w:pStyle w:val="bParagraphtext"/>
        <w:numPr>
          <w:ilvl w:val="0"/>
          <w:numId w:val="38"/>
        </w:numPr>
        <w:spacing w:before="240"/>
        <w:ind w:left="426" w:hanging="426"/>
      </w:pPr>
      <w:r>
        <w:t xml:space="preserve">This report is before Cabinet </w:t>
      </w:r>
      <w:r w:rsidR="00D24C37">
        <w:t>because of</w:t>
      </w:r>
      <w:r>
        <w:t xml:space="preserve"> external Counsel advice that was sought in relation to the proper decision-making path for the Ultra-Low Vehicle Emissions Standards for hackney carriage vehicles (“Emissions Standards”). A copy of the advice summary can be found at confidential Appendix 1 to this report. </w:t>
      </w:r>
    </w:p>
    <w:p w14:paraId="285D131B" w14:textId="6F205FD3" w:rsidR="00407710" w:rsidRDefault="00407710" w:rsidP="00407710">
      <w:pPr>
        <w:pStyle w:val="bParagraphtext"/>
        <w:numPr>
          <w:ilvl w:val="0"/>
          <w:numId w:val="38"/>
        </w:numPr>
        <w:spacing w:before="240"/>
        <w:ind w:left="426" w:hanging="426"/>
      </w:pPr>
      <w:r>
        <w:t>Historically such policies have been reccomended by the General Purposes Licensing Committee (</w:t>
      </w:r>
      <w:r w:rsidR="00937F18">
        <w:t>“</w:t>
      </w:r>
      <w:r>
        <w:t>GPLC</w:t>
      </w:r>
      <w:r w:rsidR="00937F18">
        <w:t>”</w:t>
      </w:r>
      <w:r>
        <w:t xml:space="preserve">) to </w:t>
      </w:r>
      <w:r w:rsidR="00D24C37">
        <w:t xml:space="preserve">Full </w:t>
      </w:r>
      <w:r>
        <w:t xml:space="preserve">Council for approval in line with Part 5.6 of the Constitution. </w:t>
      </w:r>
    </w:p>
    <w:p w14:paraId="15B2C9F4" w14:textId="69E9CC47" w:rsidR="00407710" w:rsidRDefault="00407710" w:rsidP="00407710">
      <w:pPr>
        <w:pStyle w:val="bParagraphtext"/>
        <w:numPr>
          <w:ilvl w:val="0"/>
          <w:numId w:val="38"/>
        </w:numPr>
        <w:spacing w:before="240"/>
        <w:ind w:left="426" w:hanging="426"/>
      </w:pPr>
      <w:r>
        <w:t>Under the Local Authorities (Functions and Responsibilities) (England) Regulations 2000 (</w:t>
      </w:r>
      <w:r w:rsidR="007114AD">
        <w:t>“</w:t>
      </w:r>
      <w:r>
        <w:t>the Regulations</w:t>
      </w:r>
      <w:r w:rsidR="007114AD">
        <w:t>”</w:t>
      </w:r>
      <w:r>
        <w:t xml:space="preserve">) it lists in Schedule 1, paragraph b the matters which should not be a decision of an authority’s executive (Cabinet). These are: </w:t>
      </w:r>
    </w:p>
    <w:p w14:paraId="06FA52A3" w14:textId="0614B662" w:rsidR="00407710" w:rsidRDefault="00407710" w:rsidP="00407710">
      <w:pPr>
        <w:pStyle w:val="ListParagraph"/>
        <w:numPr>
          <w:ilvl w:val="1"/>
          <w:numId w:val="38"/>
        </w:numPr>
        <w:tabs>
          <w:tab w:val="clear" w:pos="426"/>
        </w:tabs>
        <w:spacing w:after="0"/>
        <w:contextualSpacing/>
        <w:rPr>
          <w:color w:val="auto"/>
        </w:rPr>
      </w:pPr>
      <w:r>
        <w:t>Licensing hackney carriages and P</w:t>
      </w:r>
      <w:r w:rsidR="00D24C37">
        <w:t xml:space="preserve">rivate </w:t>
      </w:r>
      <w:r>
        <w:t>H</w:t>
      </w:r>
      <w:r w:rsidR="00D24C37">
        <w:t xml:space="preserve">ire </w:t>
      </w:r>
      <w:r>
        <w:t>V</w:t>
      </w:r>
      <w:r w:rsidR="00D24C37">
        <w:t>ehicles (</w:t>
      </w:r>
      <w:r w:rsidR="00937F18">
        <w:t>“</w:t>
      </w:r>
      <w:r w:rsidR="00D24C37">
        <w:t>PHVs</w:t>
      </w:r>
      <w:r w:rsidR="00937F18">
        <w:t>”</w:t>
      </w:r>
      <w:r w:rsidR="00D24C37">
        <w:t>)</w:t>
      </w:r>
      <w:r>
        <w:t xml:space="preserve"> </w:t>
      </w:r>
    </w:p>
    <w:p w14:paraId="4C40E525" w14:textId="77777777" w:rsidR="00407710" w:rsidRDefault="00407710" w:rsidP="00407710">
      <w:pPr>
        <w:pStyle w:val="ListParagraph"/>
        <w:numPr>
          <w:ilvl w:val="1"/>
          <w:numId w:val="38"/>
        </w:numPr>
        <w:tabs>
          <w:tab w:val="clear" w:pos="426"/>
        </w:tabs>
        <w:spacing w:after="0"/>
        <w:contextualSpacing/>
      </w:pPr>
      <w:r>
        <w:t xml:space="preserve">Licensing drivers of hackney carriages and PHVs </w:t>
      </w:r>
    </w:p>
    <w:p w14:paraId="70A3A38A" w14:textId="77777777" w:rsidR="00407710" w:rsidRDefault="00407710" w:rsidP="00407710">
      <w:pPr>
        <w:pStyle w:val="ListParagraph"/>
        <w:numPr>
          <w:ilvl w:val="1"/>
          <w:numId w:val="38"/>
        </w:numPr>
        <w:tabs>
          <w:tab w:val="clear" w:pos="426"/>
        </w:tabs>
        <w:spacing w:after="0"/>
        <w:contextualSpacing/>
      </w:pPr>
      <w:r>
        <w:t xml:space="preserve">Licensing operators of hackney carriages and PHVs </w:t>
      </w:r>
    </w:p>
    <w:p w14:paraId="50C5E2F0" w14:textId="77777777" w:rsidR="00407710" w:rsidRDefault="00407710" w:rsidP="00407710">
      <w:pPr>
        <w:pStyle w:val="bParagraphtext"/>
        <w:numPr>
          <w:ilvl w:val="0"/>
          <w:numId w:val="38"/>
        </w:numPr>
        <w:spacing w:before="240"/>
        <w:ind w:left="426" w:hanging="426"/>
      </w:pPr>
      <w:r>
        <w:t xml:space="preserve">All other decisions concerning taxi licensing can either be a Cabinet function or a function of Full Council, however the default position is that they fall to Cabinet unless Full Council make a positive and explicit decision to keep the decision making with Full Council. </w:t>
      </w:r>
    </w:p>
    <w:p w14:paraId="529FEA20" w14:textId="2616B844" w:rsidR="00407710" w:rsidRDefault="00407710" w:rsidP="00407710">
      <w:pPr>
        <w:pStyle w:val="bParagraphtext"/>
        <w:numPr>
          <w:ilvl w:val="0"/>
          <w:numId w:val="38"/>
        </w:numPr>
        <w:spacing w:before="240"/>
        <w:ind w:left="426" w:hanging="426"/>
      </w:pPr>
      <w:r>
        <w:lastRenderedPageBreak/>
        <w:t xml:space="preserve">Historically, since its first adoption, Oxford City Council has approved in its Constitution at Part 5.6 that decisions on taxi licensing (including hackney carriage vehicles are for Full Council. This has been consistently adopted by Council with each amendment to the Constitution. </w:t>
      </w:r>
    </w:p>
    <w:p w14:paraId="5BE5BEC4" w14:textId="77777777" w:rsidR="00407710" w:rsidRDefault="00407710" w:rsidP="00407710">
      <w:pPr>
        <w:pStyle w:val="bParagraphtext"/>
        <w:numPr>
          <w:ilvl w:val="0"/>
          <w:numId w:val="38"/>
        </w:numPr>
        <w:spacing w:before="240"/>
        <w:ind w:left="426" w:hanging="426"/>
      </w:pPr>
      <w:r>
        <w:t xml:space="preserve">Officers have therefore dealt with decision making on policies such as the Emissions Standards since by ensuring their referral from GPLC to Full Council in line with the Constitution. </w:t>
      </w:r>
    </w:p>
    <w:p w14:paraId="17D449AF" w14:textId="6A2203BF" w:rsidR="00407710" w:rsidRDefault="00407710" w:rsidP="00407710">
      <w:pPr>
        <w:pStyle w:val="bParagraphtext"/>
        <w:numPr>
          <w:ilvl w:val="0"/>
          <w:numId w:val="38"/>
        </w:numPr>
        <w:spacing w:before="240"/>
        <w:ind w:left="426" w:hanging="426"/>
      </w:pPr>
      <w:r>
        <w:t xml:space="preserve">Owing to confusion on the part of officers at the recent GPLC on the 22 September 2025 advice was sought from Counsel on Councils provision for decision making in the </w:t>
      </w:r>
      <w:r w:rsidR="007114AD">
        <w:t>C</w:t>
      </w:r>
      <w:r>
        <w:t xml:space="preserve">onstitution. </w:t>
      </w:r>
    </w:p>
    <w:p w14:paraId="461B884E" w14:textId="77777777" w:rsidR="00407710" w:rsidRDefault="00407710" w:rsidP="00407710">
      <w:pPr>
        <w:pStyle w:val="bParagraphtext"/>
        <w:numPr>
          <w:ilvl w:val="0"/>
          <w:numId w:val="38"/>
        </w:numPr>
        <w:spacing w:before="240"/>
        <w:ind w:left="426" w:hanging="426"/>
      </w:pPr>
      <w:r>
        <w:t xml:space="preserve">That advice has confirmed that, owing to there being no explicit recommendation of Full Council which can be located in historic minutes that the function remain with Full Council, under the operation of the Regulations the function properly rests in default with Cabinet. </w:t>
      </w:r>
    </w:p>
    <w:p w14:paraId="2948E7FD" w14:textId="77777777" w:rsidR="00407710" w:rsidRDefault="00407710" w:rsidP="00407710">
      <w:pPr>
        <w:pStyle w:val="bParagraphtext"/>
        <w:numPr>
          <w:ilvl w:val="0"/>
          <w:numId w:val="38"/>
        </w:numPr>
        <w:spacing w:before="240"/>
        <w:ind w:left="426" w:hanging="426"/>
      </w:pPr>
      <w:r>
        <w:t xml:space="preserve">The intention is that at the next meeting of Full Council an explicit ratification of the approval by Full Council of all Taxi licensing policies. In the meantime however time constraints require this report to come to Cabinet to ask it to take a decision as to the delay of the commencement of the Emissions Standards, due to take effect in January 2026. </w:t>
      </w:r>
    </w:p>
    <w:p w14:paraId="6CF88B9B" w14:textId="6193922B" w:rsidR="00407710" w:rsidRDefault="00407710" w:rsidP="00407710">
      <w:pPr>
        <w:pStyle w:val="bParagraphtext"/>
        <w:numPr>
          <w:ilvl w:val="0"/>
          <w:numId w:val="38"/>
        </w:numPr>
        <w:spacing w:before="240"/>
        <w:ind w:left="426" w:hanging="426"/>
      </w:pPr>
      <w:r>
        <w:t xml:space="preserve">Whilst it would be possible to take the matter to Full Council at the same time as the Constitutional changes it will lead to further uncertainty for the </w:t>
      </w:r>
      <w:r w:rsidR="007114AD">
        <w:t xml:space="preserve">hackney carriage </w:t>
      </w:r>
      <w:r>
        <w:t xml:space="preserve">sector who will, if not approved, need to be taking steps to comply. As such it is considered appropriate to bring this to Cabinet for consideration as the proper identified decision maker following the Counsel’s advice provided. </w:t>
      </w:r>
    </w:p>
    <w:p w14:paraId="1610AA14" w14:textId="77777777" w:rsidR="00407710" w:rsidRDefault="00407710" w:rsidP="00407710">
      <w:pPr>
        <w:pStyle w:val="bParagraphtext"/>
        <w:numPr>
          <w:ilvl w:val="0"/>
          <w:numId w:val="38"/>
        </w:numPr>
        <w:spacing w:before="240"/>
        <w:ind w:left="426" w:hanging="426"/>
      </w:pPr>
      <w:r>
        <w:t xml:space="preserve">Officers apologise to both Cabinet and Members of the GLPC for the issues this has caused. The advice raises very technical points of law and, in good faith, officers had considered that the power was properly reserved to Full Council. </w:t>
      </w:r>
    </w:p>
    <w:p w14:paraId="352FB548" w14:textId="66F7F77D" w:rsidR="00633578" w:rsidRPr="002B6836" w:rsidRDefault="00407710" w:rsidP="002B6836">
      <w:pPr>
        <w:pStyle w:val="Heading1"/>
      </w:pPr>
      <w:r>
        <w:t xml:space="preserve">Ultra Low Vehicle Emissions Standards for Hackney Carriages </w:t>
      </w:r>
    </w:p>
    <w:p w14:paraId="0D9A252C" w14:textId="77777777" w:rsidR="00120630" w:rsidRDefault="00DF2888" w:rsidP="00120630">
      <w:pPr>
        <w:pStyle w:val="bParagraphtext"/>
        <w:numPr>
          <w:ilvl w:val="0"/>
          <w:numId w:val="38"/>
        </w:numPr>
        <w:ind w:left="426" w:hanging="502"/>
      </w:pPr>
      <w:r>
        <w:t>On the 22 July 2019 the Emissions Standards for hackney carriage vehicles was formally adopted by the Council following recommendation for approval by the General Purposes Licensing (GPL) Committee on 23 January 2019. The purpose of the standard was to reduce emissions in the taxi fleet and improve air quality in the City.</w:t>
      </w:r>
    </w:p>
    <w:p w14:paraId="39FD3019" w14:textId="2252C5C3" w:rsidR="005F6AD4" w:rsidRDefault="00120630" w:rsidP="00120630">
      <w:pPr>
        <w:pStyle w:val="bParagraphtext"/>
        <w:numPr>
          <w:ilvl w:val="0"/>
          <w:numId w:val="38"/>
        </w:numPr>
        <w:ind w:left="426" w:hanging="502"/>
      </w:pPr>
      <w:r>
        <w:t xml:space="preserve">On 18 March 2024 Full Council approved an amendment to the Emission Standards for HCVs, by extending the final phase </w:t>
      </w:r>
      <w:r w:rsidR="005F6AD4">
        <w:t>for</w:t>
      </w:r>
      <w:r>
        <w:t xml:space="preserve"> </w:t>
      </w:r>
      <w:r w:rsidR="005F6AD4">
        <w:t xml:space="preserve">compliance from 1 January 2025 to 1 January 2026. This was based on a recommendation from the GPLC on the 5 February 2024. The 2024 GPLC report can be found at </w:t>
      </w:r>
      <w:r w:rsidR="005F6AD4" w:rsidRPr="005F6AD4">
        <w:t>Appendix Two.</w:t>
      </w:r>
    </w:p>
    <w:p w14:paraId="631ABD42" w14:textId="60A3E3B6" w:rsidR="00805B9C" w:rsidRDefault="00805B9C" w:rsidP="00120630">
      <w:pPr>
        <w:pStyle w:val="bParagraphtext"/>
        <w:numPr>
          <w:ilvl w:val="0"/>
          <w:numId w:val="38"/>
        </w:numPr>
        <w:ind w:left="426" w:hanging="502"/>
      </w:pPr>
      <w:r>
        <w:t>The current HCV emission standards, as adopted by the Council are</w:t>
      </w:r>
      <w:r w:rsidR="00747149">
        <w:t>:</w:t>
      </w:r>
    </w:p>
    <w:tbl>
      <w:tblPr>
        <w:tblW w:w="89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3"/>
        <w:gridCol w:w="2296"/>
        <w:gridCol w:w="4111"/>
      </w:tblGrid>
      <w:tr w:rsidR="00747149" w:rsidRPr="00535947" w14:paraId="490AAE17" w14:textId="77777777" w:rsidTr="00E17E30">
        <w:trPr>
          <w:trHeight w:val="812"/>
        </w:trPr>
        <w:tc>
          <w:tcPr>
            <w:tcW w:w="2523" w:type="dxa"/>
          </w:tcPr>
          <w:p w14:paraId="15485B06" w14:textId="77777777" w:rsidR="00747149" w:rsidRPr="00535947" w:rsidRDefault="00747149" w:rsidP="00E17E30">
            <w:pPr>
              <w:pStyle w:val="Default"/>
              <w:spacing w:before="240" w:after="120"/>
            </w:pPr>
            <w:r w:rsidRPr="00535947">
              <w:rPr>
                <w:b/>
                <w:bCs/>
              </w:rPr>
              <w:t xml:space="preserve">Date From </w:t>
            </w:r>
          </w:p>
        </w:tc>
        <w:tc>
          <w:tcPr>
            <w:tcW w:w="2296" w:type="dxa"/>
          </w:tcPr>
          <w:p w14:paraId="13D8BF10" w14:textId="77777777" w:rsidR="00747149" w:rsidRPr="00535947" w:rsidRDefault="00747149" w:rsidP="00E17E30">
            <w:pPr>
              <w:pStyle w:val="Default"/>
              <w:spacing w:before="240" w:after="120"/>
            </w:pPr>
            <w:r w:rsidRPr="00535947">
              <w:rPr>
                <w:b/>
                <w:bCs/>
              </w:rPr>
              <w:t xml:space="preserve">Renewal HCV Applications </w:t>
            </w:r>
          </w:p>
        </w:tc>
        <w:tc>
          <w:tcPr>
            <w:tcW w:w="4111" w:type="dxa"/>
          </w:tcPr>
          <w:p w14:paraId="7D268008" w14:textId="77777777" w:rsidR="00747149" w:rsidRPr="00535947" w:rsidRDefault="00747149" w:rsidP="00E17E30">
            <w:pPr>
              <w:pStyle w:val="Default"/>
              <w:spacing w:before="240" w:after="120"/>
            </w:pPr>
            <w:r w:rsidRPr="00535947">
              <w:rPr>
                <w:b/>
                <w:bCs/>
              </w:rPr>
              <w:t xml:space="preserve">New HCV Applications </w:t>
            </w:r>
          </w:p>
        </w:tc>
      </w:tr>
      <w:tr w:rsidR="00747149" w:rsidRPr="00535947" w14:paraId="3E10D332" w14:textId="77777777" w:rsidTr="00E17E30">
        <w:trPr>
          <w:trHeight w:val="1086"/>
        </w:trPr>
        <w:tc>
          <w:tcPr>
            <w:tcW w:w="2523" w:type="dxa"/>
          </w:tcPr>
          <w:p w14:paraId="39C57382" w14:textId="77777777" w:rsidR="00747149" w:rsidRPr="00535947" w:rsidRDefault="00747149" w:rsidP="00E17E30">
            <w:pPr>
              <w:pStyle w:val="Default"/>
              <w:spacing w:before="240" w:after="120"/>
            </w:pPr>
            <w:r w:rsidRPr="00535947">
              <w:lastRenderedPageBreak/>
              <w:t xml:space="preserve">Renewal – 1st January 2020 </w:t>
            </w:r>
          </w:p>
          <w:p w14:paraId="66ED232F" w14:textId="77777777" w:rsidR="00747149" w:rsidRPr="00535947" w:rsidRDefault="00747149" w:rsidP="00E17E30">
            <w:pPr>
              <w:pStyle w:val="Default"/>
              <w:spacing w:before="240" w:after="120"/>
            </w:pPr>
            <w:r w:rsidRPr="00535947">
              <w:t xml:space="preserve">New – Immediately </w:t>
            </w:r>
          </w:p>
        </w:tc>
        <w:tc>
          <w:tcPr>
            <w:tcW w:w="2296" w:type="dxa"/>
          </w:tcPr>
          <w:p w14:paraId="326B9D90" w14:textId="77777777" w:rsidR="00747149" w:rsidRPr="00535947" w:rsidRDefault="00747149" w:rsidP="00E17E30">
            <w:pPr>
              <w:pStyle w:val="Default"/>
              <w:spacing w:before="240" w:after="120"/>
            </w:pPr>
            <w:r w:rsidRPr="00535947">
              <w:t xml:space="preserve">All HCV must meet EURO 4 emission standard </w:t>
            </w:r>
          </w:p>
        </w:tc>
        <w:tc>
          <w:tcPr>
            <w:tcW w:w="4111" w:type="dxa"/>
          </w:tcPr>
          <w:p w14:paraId="65886ED5" w14:textId="77777777" w:rsidR="00747149" w:rsidRPr="00535947" w:rsidRDefault="00747149" w:rsidP="00E17E30">
            <w:pPr>
              <w:pStyle w:val="Default"/>
              <w:spacing w:before="240" w:after="120"/>
            </w:pPr>
            <w:r w:rsidRPr="00535947">
              <w:t>All HCV must meet EURO4, EURO 6 or ULEV emission standard</w:t>
            </w:r>
            <w:r>
              <w:t>.</w:t>
            </w:r>
            <w:r w:rsidRPr="00535947">
              <w:t xml:space="preserve">(EURO 5 vehicles will not be considered to meet this standard) </w:t>
            </w:r>
          </w:p>
        </w:tc>
      </w:tr>
      <w:tr w:rsidR="00747149" w:rsidRPr="00535947" w14:paraId="135DE580" w14:textId="77777777" w:rsidTr="00E17E30">
        <w:trPr>
          <w:trHeight w:val="1571"/>
        </w:trPr>
        <w:tc>
          <w:tcPr>
            <w:tcW w:w="2523" w:type="dxa"/>
            <w:tcBorders>
              <w:bottom w:val="single" w:sz="24" w:space="0" w:color="548DD4" w:themeColor="text2" w:themeTint="99"/>
            </w:tcBorders>
          </w:tcPr>
          <w:p w14:paraId="2682FBA2" w14:textId="77777777" w:rsidR="00747149" w:rsidRPr="00535947" w:rsidRDefault="00747149" w:rsidP="00E17E30">
            <w:pPr>
              <w:pStyle w:val="Default"/>
              <w:spacing w:before="240" w:after="120"/>
            </w:pPr>
            <w:r w:rsidRPr="00535947">
              <w:t xml:space="preserve">1st January 2022 </w:t>
            </w:r>
          </w:p>
        </w:tc>
        <w:tc>
          <w:tcPr>
            <w:tcW w:w="2296" w:type="dxa"/>
            <w:tcBorders>
              <w:bottom w:val="single" w:sz="24" w:space="0" w:color="548DD4" w:themeColor="text2" w:themeTint="99"/>
            </w:tcBorders>
          </w:tcPr>
          <w:p w14:paraId="09FC40DC" w14:textId="77777777" w:rsidR="00747149" w:rsidRPr="00535947" w:rsidRDefault="00747149" w:rsidP="00E17E30">
            <w:pPr>
              <w:pStyle w:val="Default"/>
              <w:spacing w:before="240" w:after="120"/>
            </w:pPr>
            <w:r w:rsidRPr="00535947">
              <w:t xml:space="preserve">All HCV must meet EURO 4 emission standard </w:t>
            </w:r>
          </w:p>
        </w:tc>
        <w:tc>
          <w:tcPr>
            <w:tcW w:w="4111" w:type="dxa"/>
            <w:tcBorders>
              <w:bottom w:val="single" w:sz="24" w:space="0" w:color="548DD4" w:themeColor="text2" w:themeTint="99"/>
            </w:tcBorders>
          </w:tcPr>
          <w:p w14:paraId="2D50E495" w14:textId="77777777" w:rsidR="00747149" w:rsidRPr="00535947" w:rsidRDefault="00747149" w:rsidP="00E17E30">
            <w:pPr>
              <w:pStyle w:val="Default"/>
              <w:spacing w:before="240" w:after="120"/>
            </w:pPr>
            <w:r w:rsidRPr="00535947">
              <w:t xml:space="preserve">All HCV must meet ULEV standard, *or at least Euro 4 if replacing an existing Euro 4, Euro 5 or Euro 6 due to the vehicle being written off by an insurance company or is a temporary courtesy vehicle due to repairs </w:t>
            </w:r>
          </w:p>
        </w:tc>
      </w:tr>
      <w:tr w:rsidR="00747149" w:rsidRPr="00535947" w14:paraId="671F01F2" w14:textId="77777777" w:rsidTr="00E17E30">
        <w:trPr>
          <w:trHeight w:val="588"/>
        </w:trPr>
        <w:tc>
          <w:tcPr>
            <w:tcW w:w="2523" w:type="dxa"/>
            <w:tcBorders>
              <w:top w:val="single" w:sz="24" w:space="0" w:color="548DD4" w:themeColor="text2" w:themeTint="99"/>
              <w:left w:val="single" w:sz="24" w:space="0" w:color="548DD4" w:themeColor="text2" w:themeTint="99"/>
              <w:bottom w:val="single" w:sz="24" w:space="0" w:color="548DD4" w:themeColor="text2" w:themeTint="99"/>
            </w:tcBorders>
          </w:tcPr>
          <w:p w14:paraId="143A09EA" w14:textId="77777777" w:rsidR="00747149" w:rsidRPr="00535947" w:rsidRDefault="00747149" w:rsidP="00E17E30">
            <w:pPr>
              <w:pStyle w:val="Default"/>
              <w:spacing w:before="240" w:after="120"/>
            </w:pPr>
            <w:r w:rsidRPr="00535947">
              <w:t xml:space="preserve">1st January 2026 </w:t>
            </w:r>
          </w:p>
        </w:tc>
        <w:tc>
          <w:tcPr>
            <w:tcW w:w="2296" w:type="dxa"/>
            <w:tcBorders>
              <w:top w:val="single" w:sz="24" w:space="0" w:color="548DD4" w:themeColor="text2" w:themeTint="99"/>
              <w:bottom w:val="single" w:sz="24" w:space="0" w:color="548DD4" w:themeColor="text2" w:themeTint="99"/>
            </w:tcBorders>
          </w:tcPr>
          <w:p w14:paraId="119B0225" w14:textId="77777777" w:rsidR="00747149" w:rsidRPr="00535947" w:rsidRDefault="00747149" w:rsidP="00E17E30">
            <w:pPr>
              <w:pStyle w:val="Default"/>
              <w:spacing w:before="240" w:after="120"/>
            </w:pPr>
            <w:r w:rsidRPr="00535947">
              <w:t xml:space="preserve">All HCV must meet ULEV standard </w:t>
            </w:r>
          </w:p>
        </w:tc>
        <w:tc>
          <w:tcPr>
            <w:tcW w:w="4111" w:type="dxa"/>
            <w:tcBorders>
              <w:top w:val="single" w:sz="24" w:space="0" w:color="548DD4" w:themeColor="text2" w:themeTint="99"/>
              <w:bottom w:val="single" w:sz="24" w:space="0" w:color="548DD4" w:themeColor="text2" w:themeTint="99"/>
              <w:right w:val="single" w:sz="24" w:space="0" w:color="548DD4" w:themeColor="text2" w:themeTint="99"/>
            </w:tcBorders>
          </w:tcPr>
          <w:p w14:paraId="02ADF866" w14:textId="77777777" w:rsidR="00747149" w:rsidRPr="00535947" w:rsidRDefault="00747149" w:rsidP="00E17E30">
            <w:pPr>
              <w:pStyle w:val="Default"/>
              <w:spacing w:before="240" w:after="120"/>
            </w:pPr>
            <w:r w:rsidRPr="00535947">
              <w:t xml:space="preserve">All HCV must meet ULEV standard </w:t>
            </w:r>
          </w:p>
        </w:tc>
      </w:tr>
    </w:tbl>
    <w:p w14:paraId="1B62A72A" w14:textId="77777777" w:rsidR="00805B9C" w:rsidRDefault="00805B9C" w:rsidP="00805B9C">
      <w:pPr>
        <w:pStyle w:val="bParagraphtext"/>
        <w:numPr>
          <w:ilvl w:val="0"/>
          <w:numId w:val="0"/>
        </w:numPr>
        <w:ind w:left="426"/>
      </w:pPr>
    </w:p>
    <w:p w14:paraId="008CA6F2" w14:textId="77777777" w:rsidR="001354A3" w:rsidRDefault="001354A3" w:rsidP="001354A3">
      <w:pPr>
        <w:pStyle w:val="bParagraphtext"/>
        <w:numPr>
          <w:ilvl w:val="0"/>
          <w:numId w:val="38"/>
        </w:numPr>
        <w:spacing w:before="240"/>
        <w:ind w:left="426" w:hanging="426"/>
      </w:pPr>
      <w:r w:rsidRPr="0021763D">
        <w:t xml:space="preserve">As of </w:t>
      </w:r>
      <w:r>
        <w:t>September 2025</w:t>
      </w:r>
      <w:r w:rsidRPr="0021763D">
        <w:t xml:space="preserve">, 40 out of 107 licensed </w:t>
      </w:r>
      <w:r>
        <w:t>h</w:t>
      </w:r>
      <w:r w:rsidRPr="0021763D">
        <w:t xml:space="preserve">ackney </w:t>
      </w:r>
      <w:r>
        <w:t>c</w:t>
      </w:r>
      <w:r w:rsidRPr="0021763D">
        <w:t xml:space="preserve">arriage </w:t>
      </w:r>
      <w:r>
        <w:t>v</w:t>
      </w:r>
      <w:r w:rsidRPr="0021763D">
        <w:t>ehicles have transitioned to meet the</w:t>
      </w:r>
      <w:r>
        <w:t xml:space="preserve"> </w:t>
      </w:r>
      <w:r w:rsidRPr="0021763D">
        <w:t xml:space="preserve">ULEV standard, along with 3 out of 4 </w:t>
      </w:r>
      <w:r>
        <w:t xml:space="preserve">currently licenced </w:t>
      </w:r>
      <w:r w:rsidRPr="0021763D">
        <w:t xml:space="preserve">temporary vehicles. This means 67 licensed HCVs and 1 temporary vehicle still need to upgrade to meet the ULEV </w:t>
      </w:r>
      <w:r>
        <w:t>standard</w:t>
      </w:r>
      <w:r w:rsidRPr="0021763D">
        <w:t xml:space="preserve"> </w:t>
      </w:r>
      <w:r>
        <w:t xml:space="preserve">from </w:t>
      </w:r>
      <w:r w:rsidRPr="0021763D">
        <w:t>the 1</w:t>
      </w:r>
      <w:r w:rsidRPr="009B1B67">
        <w:rPr>
          <w:vertAlign w:val="superscript"/>
        </w:rPr>
        <w:t>st</w:t>
      </w:r>
      <w:r>
        <w:t xml:space="preserve"> </w:t>
      </w:r>
      <w:r w:rsidRPr="0021763D">
        <w:t>January 2026</w:t>
      </w:r>
      <w:r>
        <w:t xml:space="preserve">. </w:t>
      </w:r>
    </w:p>
    <w:p w14:paraId="1212A1C2" w14:textId="77777777" w:rsidR="00C360B1" w:rsidRDefault="00C360B1" w:rsidP="00C360B1">
      <w:pPr>
        <w:pStyle w:val="bParagraphtext"/>
        <w:numPr>
          <w:ilvl w:val="0"/>
          <w:numId w:val="38"/>
        </w:numPr>
        <w:tabs>
          <w:tab w:val="clear" w:pos="426"/>
          <w:tab w:val="left" w:pos="567"/>
        </w:tabs>
        <w:spacing w:before="240"/>
        <w:ind w:left="567" w:hanging="567"/>
      </w:pPr>
      <w:r w:rsidRPr="00F66BCA">
        <w:t>On 11th April and 22nd July 2025, the City of Oxford Licensed Taxicab Association (COLTA) formally requested that the Council postpone the final phase of the Hackney Carriage Vehicle (HCV) emission standards</w:t>
      </w:r>
      <w:r>
        <w:t xml:space="preserve">, </w:t>
      </w:r>
      <w:r w:rsidRPr="00F66BCA">
        <w:t>currently set for implementation on 1st January 2026</w:t>
      </w:r>
      <w:r>
        <w:t xml:space="preserve">, </w:t>
      </w:r>
      <w:r w:rsidRPr="00F66BCA">
        <w:t>by an additional two years, extending the deadline to 2028.</w:t>
      </w:r>
      <w:r>
        <w:t xml:space="preserve"> This can be found at Appendix 3. In that COLTA cited the following reasons in support of their request:</w:t>
      </w:r>
    </w:p>
    <w:p w14:paraId="6FD448B8" w14:textId="77777777" w:rsidR="00C360B1" w:rsidRDefault="00C360B1" w:rsidP="00C360B1">
      <w:pPr>
        <w:pStyle w:val="bParagraphtext"/>
        <w:numPr>
          <w:ilvl w:val="0"/>
          <w:numId w:val="34"/>
        </w:numPr>
        <w:spacing w:before="240"/>
      </w:pPr>
      <w:r>
        <w:t>Financial hardship.</w:t>
      </w:r>
    </w:p>
    <w:p w14:paraId="3DF6B25B" w14:textId="77777777" w:rsidR="00C360B1" w:rsidRDefault="00C360B1" w:rsidP="00C360B1">
      <w:pPr>
        <w:pStyle w:val="bParagraphtext"/>
        <w:numPr>
          <w:ilvl w:val="0"/>
          <w:numId w:val="34"/>
        </w:numPr>
        <w:spacing w:before="240"/>
      </w:pPr>
      <w:r>
        <w:t>Impact of the evolving private hire trade.</w:t>
      </w:r>
    </w:p>
    <w:p w14:paraId="3C251C1C" w14:textId="77777777" w:rsidR="00C360B1" w:rsidRDefault="00C360B1" w:rsidP="00C360B1">
      <w:pPr>
        <w:pStyle w:val="bParagraphtext"/>
        <w:numPr>
          <w:ilvl w:val="0"/>
          <w:numId w:val="34"/>
        </w:numPr>
        <w:spacing w:before="240"/>
      </w:pPr>
      <w:r>
        <w:t>Uncertainty regarding hackney carriage quantity control.</w:t>
      </w:r>
    </w:p>
    <w:p w14:paraId="76B429D9" w14:textId="77777777" w:rsidR="00C360B1" w:rsidRDefault="00C360B1" w:rsidP="00C360B1">
      <w:pPr>
        <w:pStyle w:val="bParagraphtext"/>
        <w:numPr>
          <w:ilvl w:val="0"/>
          <w:numId w:val="34"/>
        </w:numPr>
        <w:spacing w:before="240"/>
      </w:pPr>
      <w:r>
        <w:t>Local infrastructure challenges, including road closures and delays to the Zero Emission Zone.</w:t>
      </w:r>
    </w:p>
    <w:p w14:paraId="78B65533" w14:textId="77777777" w:rsidR="00C360B1" w:rsidRDefault="00C360B1" w:rsidP="00C360B1">
      <w:pPr>
        <w:pStyle w:val="bParagraphtext"/>
        <w:numPr>
          <w:ilvl w:val="0"/>
          <w:numId w:val="34"/>
        </w:numPr>
        <w:spacing w:before="240"/>
      </w:pPr>
      <w:r>
        <w:t>Uncertainty regarding local government reorganisation.</w:t>
      </w:r>
    </w:p>
    <w:p w14:paraId="22D30BF0" w14:textId="03DC0AF7" w:rsidR="004204B7" w:rsidRDefault="004204B7" w:rsidP="004204B7">
      <w:pPr>
        <w:pStyle w:val="bParagraphtext"/>
        <w:numPr>
          <w:ilvl w:val="0"/>
          <w:numId w:val="38"/>
        </w:numPr>
        <w:spacing w:before="240"/>
        <w:ind w:left="426" w:hanging="426"/>
      </w:pPr>
      <w:r w:rsidRPr="00BC09D9">
        <w:t xml:space="preserve">On 22nd September 2025, </w:t>
      </w:r>
      <w:r>
        <w:t>GLPC</w:t>
      </w:r>
      <w:r w:rsidRPr="00BC09D9">
        <w:t xml:space="preserve"> agreed</w:t>
      </w:r>
      <w:r>
        <w:t xml:space="preserve"> to recommend to Council</w:t>
      </w:r>
      <w:r w:rsidRPr="00BC09D9">
        <w:t xml:space="preserve"> a postponement of the final phase until the establishment of a new unitary council under the Local Government Review, aligning the policy with wider structural changes and enabling consistent standards across the new licensing authority.</w:t>
      </w:r>
    </w:p>
    <w:p w14:paraId="3D006FC3" w14:textId="77777777" w:rsidR="0035033B" w:rsidRDefault="0035033B" w:rsidP="0035033B">
      <w:pPr>
        <w:pStyle w:val="ListParagraph"/>
        <w:numPr>
          <w:ilvl w:val="0"/>
          <w:numId w:val="38"/>
        </w:numPr>
        <w:spacing w:before="240"/>
        <w:ind w:left="426" w:hanging="426"/>
      </w:pPr>
      <w:r>
        <w:t>To support making an informed decision, the Environmental Sustainability Team produced an updated report examining key factors affecting the hackney carriage market. The report explores:</w:t>
      </w:r>
    </w:p>
    <w:p w14:paraId="54CC71BE" w14:textId="77777777" w:rsidR="0035033B" w:rsidRDefault="0035033B" w:rsidP="0035033B">
      <w:pPr>
        <w:pStyle w:val="ListParagraph"/>
        <w:numPr>
          <w:ilvl w:val="0"/>
          <w:numId w:val="40"/>
        </w:numPr>
        <w:spacing w:before="240"/>
      </w:pPr>
      <w:r>
        <w:lastRenderedPageBreak/>
        <w:t>The affordability of electric hackney carriages, including ownership and running costs.</w:t>
      </w:r>
    </w:p>
    <w:p w14:paraId="42346110" w14:textId="77777777" w:rsidR="0035033B" w:rsidRDefault="0035033B" w:rsidP="0035033B">
      <w:pPr>
        <w:pStyle w:val="ListParagraph"/>
        <w:numPr>
          <w:ilvl w:val="0"/>
          <w:numId w:val="40"/>
        </w:numPr>
        <w:spacing w:before="240"/>
      </w:pPr>
      <w:r>
        <w:t>The impact of reduced government grants, rising energy, and borrowing costs.</w:t>
      </w:r>
    </w:p>
    <w:p w14:paraId="6E7C70E3" w14:textId="77777777" w:rsidR="0035033B" w:rsidRDefault="0035033B" w:rsidP="0035033B">
      <w:pPr>
        <w:pStyle w:val="ListParagraph"/>
        <w:numPr>
          <w:ilvl w:val="0"/>
          <w:numId w:val="40"/>
        </w:numPr>
        <w:spacing w:before="240"/>
      </w:pPr>
      <w:r>
        <w:t>Comparative cost scenarios between electric and diesel vehicles.</w:t>
      </w:r>
    </w:p>
    <w:p w14:paraId="370398A5" w14:textId="77777777" w:rsidR="0035033B" w:rsidRDefault="0035033B" w:rsidP="0035033B">
      <w:pPr>
        <w:pStyle w:val="ListParagraph"/>
        <w:numPr>
          <w:ilvl w:val="0"/>
          <w:numId w:val="40"/>
        </w:numPr>
        <w:spacing w:before="240"/>
      </w:pPr>
      <w:r>
        <w:t>Emissions reductions achieved since the introduction of licensing standards.</w:t>
      </w:r>
    </w:p>
    <w:p w14:paraId="2003C63D" w14:textId="77777777" w:rsidR="0035033B" w:rsidRDefault="0035033B" w:rsidP="0035033B">
      <w:pPr>
        <w:pStyle w:val="ListParagraph"/>
        <w:numPr>
          <w:ilvl w:val="0"/>
          <w:numId w:val="40"/>
        </w:numPr>
        <w:spacing w:before="240"/>
      </w:pPr>
      <w:r>
        <w:t>Implications of Zero Emission Zone (ZEZ) charges and delays to its expansion.</w:t>
      </w:r>
    </w:p>
    <w:p w14:paraId="4BD8D2E6" w14:textId="77777777" w:rsidR="0035033B" w:rsidRDefault="0035033B" w:rsidP="0035033B">
      <w:pPr>
        <w:pStyle w:val="bParagraphtext"/>
        <w:numPr>
          <w:ilvl w:val="0"/>
          <w:numId w:val="0"/>
        </w:numPr>
        <w:spacing w:before="240"/>
        <w:ind w:left="360"/>
      </w:pPr>
      <w:r>
        <w:t xml:space="preserve">A copy of this report can be found at </w:t>
      </w:r>
      <w:r>
        <w:rPr>
          <w:b/>
          <w:bCs/>
        </w:rPr>
        <w:t>Appendix Four.</w:t>
      </w:r>
    </w:p>
    <w:p w14:paraId="628A7DC8" w14:textId="2C8866C3" w:rsidR="00F52606" w:rsidRPr="008A3128" w:rsidRDefault="00F52606" w:rsidP="00CC06DD">
      <w:pPr>
        <w:pStyle w:val="ListParagraph"/>
        <w:numPr>
          <w:ilvl w:val="0"/>
          <w:numId w:val="38"/>
        </w:numPr>
        <w:ind w:left="426" w:hanging="426"/>
      </w:pPr>
      <w:r>
        <w:t xml:space="preserve">By comparison to neighbouring authorities </w:t>
      </w:r>
      <w:r w:rsidRPr="008A3128">
        <w:t xml:space="preserve">Oxford City Council is leading the way for low emission hackney carriage </w:t>
      </w:r>
      <w:bookmarkStart w:id="0" w:name="_Hlk213262093"/>
      <w:r w:rsidRPr="008A3128">
        <w:t>vehicles, with the current requirement of ULEV standard from 2026</w:t>
      </w:r>
      <w:r>
        <w:t xml:space="preserve">: </w:t>
      </w:r>
    </w:p>
    <w:p w14:paraId="6325C98C" w14:textId="77777777" w:rsidR="00F52606" w:rsidRDefault="00F52606" w:rsidP="00F52606">
      <w:pPr>
        <w:pStyle w:val="ListParagraph"/>
        <w:numPr>
          <w:ilvl w:val="0"/>
          <w:numId w:val="41"/>
        </w:numPr>
        <w:ind w:left="709"/>
      </w:pPr>
      <w:r w:rsidRPr="008A3128">
        <w:t xml:space="preserve">South Oxfordshire District Council &amp; Vale of White Horse District Council aim for zero-carbon by 2030 but currently only require Euro 6 by 2026. </w:t>
      </w:r>
    </w:p>
    <w:p w14:paraId="616D9F82" w14:textId="77777777" w:rsidR="00CC06DD" w:rsidRDefault="00F52606" w:rsidP="00F52606">
      <w:pPr>
        <w:pStyle w:val="ListParagraph"/>
        <w:numPr>
          <w:ilvl w:val="0"/>
          <w:numId w:val="41"/>
        </w:numPr>
        <w:ind w:left="709"/>
      </w:pPr>
      <w:r w:rsidRPr="008A3128">
        <w:t>Cherwell District Council sets a later ULEV deadline</w:t>
      </w:r>
      <w:r>
        <w:t xml:space="preserve"> of</w:t>
      </w:r>
      <w:r w:rsidRPr="008A3128">
        <w:t xml:space="preserve"> 2030 for new applications, </w:t>
      </w:r>
      <w:r>
        <w:t xml:space="preserve">and </w:t>
      </w:r>
      <w:r w:rsidRPr="008A3128">
        <w:t xml:space="preserve">2033 for renewals. </w:t>
      </w:r>
    </w:p>
    <w:p w14:paraId="5759A3BE" w14:textId="766D7D52" w:rsidR="00F52606" w:rsidRPr="00B22E72" w:rsidRDefault="00F52606" w:rsidP="00F52606">
      <w:pPr>
        <w:pStyle w:val="ListParagraph"/>
        <w:numPr>
          <w:ilvl w:val="0"/>
          <w:numId w:val="41"/>
        </w:numPr>
        <w:ind w:left="709"/>
      </w:pPr>
      <w:r w:rsidRPr="008A3128">
        <w:t xml:space="preserve">West Oxfordshire District Council has </w:t>
      </w:r>
      <w:r w:rsidRPr="007B1568">
        <w:t>no formal ULEV requirement at present.</w:t>
      </w:r>
    </w:p>
    <w:bookmarkEnd w:id="0"/>
    <w:p w14:paraId="5A9A2F1C" w14:textId="712CAA0B" w:rsidR="00C360B1" w:rsidRDefault="0076795D" w:rsidP="001354A3">
      <w:pPr>
        <w:pStyle w:val="bParagraphtext"/>
        <w:numPr>
          <w:ilvl w:val="0"/>
          <w:numId w:val="38"/>
        </w:numPr>
        <w:tabs>
          <w:tab w:val="clear" w:pos="426"/>
          <w:tab w:val="left" w:pos="567"/>
        </w:tabs>
        <w:spacing w:before="240"/>
        <w:ind w:left="567" w:hanging="567"/>
      </w:pPr>
      <w:r>
        <w:t xml:space="preserve">Since the adoption and amendment of the Emissions Standards, government have launched a national Local Government Reorganisation programme (“LGR”). Implementation is expected by 2028 and will result in a reshaping of </w:t>
      </w:r>
      <w:r w:rsidRPr="002C7C89">
        <w:t>Oxfordshire’s council structure</w:t>
      </w:r>
      <w:r>
        <w:t>. In all three proposals put forward there will be a significant increase in the hackney carriage from that which is currently in each authority, as they will be combined across either one, two or three new authorities, as opposed to the 5 current constituent licensing authorities (including West Berkshire who are involved in the reorganisation as set out in two of the three proposals).</w:t>
      </w:r>
    </w:p>
    <w:p w14:paraId="3D876A5E" w14:textId="77777777" w:rsidR="003F0CF8" w:rsidRDefault="003F0CF8" w:rsidP="003F0CF8">
      <w:pPr>
        <w:pStyle w:val="ListParagraph"/>
        <w:numPr>
          <w:ilvl w:val="0"/>
          <w:numId w:val="38"/>
        </w:numPr>
        <w:tabs>
          <w:tab w:val="clear" w:pos="426"/>
          <w:tab w:val="left" w:pos="567"/>
        </w:tabs>
        <w:ind w:left="567" w:hanging="567"/>
      </w:pPr>
      <w:r w:rsidRPr="002C7C89">
        <w:t xml:space="preserve">Based on March 2025 </w:t>
      </w:r>
      <w:r>
        <w:t>County wide</w:t>
      </w:r>
      <w:r w:rsidRPr="002C7C89">
        <w:t xml:space="preserve"> data, a single Oxfordshire-wide authority would license approximately 1,068 hackney carriages</w:t>
      </w:r>
      <w:r>
        <w:t xml:space="preserve">, </w:t>
      </w:r>
      <w:r w:rsidRPr="002C7C89">
        <w:t xml:space="preserve">an increase of 898% compared to Oxford City alone. A two-unitary model would create one authority with around 332 vehicles (Oxford City, Cherwell, West Oxfordshire), an increase of 210%. A three-unitary model is less precise due to </w:t>
      </w:r>
      <w:r>
        <w:t xml:space="preserve">the </w:t>
      </w:r>
      <w:r w:rsidRPr="002C7C89">
        <w:t xml:space="preserve">boundary </w:t>
      </w:r>
      <w:r>
        <w:t>proposal</w:t>
      </w:r>
      <w:r w:rsidRPr="002C7C89">
        <w:t xml:space="preserve">, but estimates suggest a Greater Oxford fleet of 300–350 vehicles, an increase of 180–227%. </w:t>
      </w:r>
    </w:p>
    <w:p w14:paraId="36BB2225" w14:textId="7D031F06" w:rsidR="0026000B" w:rsidRPr="0026000B" w:rsidRDefault="0026000B" w:rsidP="0026000B">
      <w:pPr>
        <w:tabs>
          <w:tab w:val="left" w:pos="567"/>
        </w:tabs>
        <w:rPr>
          <w:rStyle w:val="Firstpagetablebold"/>
          <w:bCs/>
        </w:rPr>
      </w:pPr>
      <w:r>
        <w:rPr>
          <w:rStyle w:val="Firstpagetablebold"/>
          <w:bCs/>
        </w:rPr>
        <w:t xml:space="preserve">Conclusion </w:t>
      </w:r>
    </w:p>
    <w:p w14:paraId="5DB50912" w14:textId="77777777" w:rsidR="00883DE1" w:rsidRDefault="00883DE1" w:rsidP="00883DE1">
      <w:pPr>
        <w:pStyle w:val="bParagraphtext"/>
        <w:numPr>
          <w:ilvl w:val="0"/>
          <w:numId w:val="38"/>
        </w:numPr>
        <w:tabs>
          <w:tab w:val="clear" w:pos="426"/>
          <w:tab w:val="left" w:pos="567"/>
        </w:tabs>
        <w:spacing w:before="240"/>
        <w:ind w:left="567" w:hanging="567"/>
      </w:pPr>
      <w:r>
        <w:t>Cabinet is asked to consider deferring the 1 January 2026  implementation of the final phase of the Hackney Carriage Vehicle (HCV) emission standards in light of several key factors:</w:t>
      </w:r>
    </w:p>
    <w:p w14:paraId="0529D85A" w14:textId="77777777" w:rsidR="00883DE1" w:rsidRDefault="00883DE1" w:rsidP="00883DE1">
      <w:pPr>
        <w:pStyle w:val="bParagraphtext"/>
        <w:numPr>
          <w:ilvl w:val="1"/>
          <w:numId w:val="38"/>
        </w:numPr>
        <w:tabs>
          <w:tab w:val="clear" w:pos="426"/>
          <w:tab w:val="left" w:pos="567"/>
        </w:tabs>
        <w:spacing w:before="240"/>
      </w:pPr>
      <w:r>
        <w:t xml:space="preserve">The City of Oxford Licensed Taxicab Association (COLTA) request for a two-year extension to the current policy deadline as outlined above.  </w:t>
      </w:r>
    </w:p>
    <w:p w14:paraId="315D9BE2" w14:textId="77777777" w:rsidR="00883DE1" w:rsidRDefault="00883DE1" w:rsidP="00883DE1">
      <w:pPr>
        <w:pStyle w:val="bParagraphtext"/>
        <w:numPr>
          <w:ilvl w:val="1"/>
          <w:numId w:val="38"/>
        </w:numPr>
        <w:tabs>
          <w:tab w:val="clear" w:pos="426"/>
          <w:tab w:val="left" w:pos="567"/>
        </w:tabs>
        <w:spacing w:before="240"/>
      </w:pPr>
      <w:r>
        <w:t xml:space="preserve">The Environmental Sustainability </w:t>
      </w:r>
      <w:proofErr w:type="spellStart"/>
      <w:r>
        <w:t>Team’supdated</w:t>
      </w:r>
      <w:proofErr w:type="spellEnd"/>
      <w:r>
        <w:t xml:space="preserve"> assessment of the hackney carriage market, confirming  that significant progress has been made in reducing emissions, but also highlighting the increasing financial </w:t>
      </w:r>
      <w:r>
        <w:lastRenderedPageBreak/>
        <w:t>pressures faced by vehicle owners, particularly those without access to home charging.</w:t>
      </w:r>
    </w:p>
    <w:p w14:paraId="6F3206DD" w14:textId="77777777" w:rsidR="00883DE1" w:rsidRDefault="00883DE1" w:rsidP="00883DE1">
      <w:pPr>
        <w:pStyle w:val="bParagraphtext"/>
        <w:numPr>
          <w:ilvl w:val="1"/>
          <w:numId w:val="38"/>
        </w:numPr>
        <w:tabs>
          <w:tab w:val="clear" w:pos="426"/>
          <w:tab w:val="left" w:pos="567"/>
        </w:tabs>
        <w:spacing w:before="240"/>
      </w:pPr>
      <w:r w:rsidRPr="006C2A48">
        <w:t>The</w:t>
      </w:r>
      <w:r>
        <w:t xml:space="preserve"> further complexity brought about as a result of the ongoing </w:t>
      </w:r>
      <w:r w:rsidRPr="006C2A48">
        <w:t xml:space="preserve"> Local Government Reorganisation</w:t>
      </w:r>
      <w:r>
        <w:t xml:space="preserve">, which will result in a </w:t>
      </w:r>
      <w:r w:rsidRPr="006C2A48">
        <w:t xml:space="preserve">significant increase in the number of vehicles within the new licensing areas that do not currently </w:t>
      </w:r>
      <w:r>
        <w:t xml:space="preserve">and will not </w:t>
      </w:r>
      <w:r w:rsidRPr="006C2A48">
        <w:t xml:space="preserve">meet Oxford City’s ULEV standard. Aligning these standards will be a priority for the shadow authority, and </w:t>
      </w:r>
      <w:r>
        <w:t xml:space="preserve">any </w:t>
      </w:r>
      <w:r w:rsidRPr="006C2A48">
        <w:t xml:space="preserve">decision taken now </w:t>
      </w:r>
      <w:r>
        <w:t>will have implications for the future policy alignment.</w:t>
      </w:r>
    </w:p>
    <w:p w14:paraId="567352CC" w14:textId="1BA18230" w:rsidR="00DF2888" w:rsidRPr="002B6836" w:rsidRDefault="00883DE1" w:rsidP="008B10CD">
      <w:pPr>
        <w:pStyle w:val="bParagraphtext"/>
        <w:numPr>
          <w:ilvl w:val="0"/>
          <w:numId w:val="38"/>
        </w:numPr>
        <w:tabs>
          <w:tab w:val="clear" w:pos="426"/>
          <w:tab w:val="left" w:pos="567"/>
        </w:tabs>
        <w:spacing w:before="240"/>
        <w:ind w:left="567" w:hanging="567"/>
      </w:pPr>
      <w:r>
        <w:t xml:space="preserve">Any future decision on an emissions policy for hackney carriages would </w:t>
      </w:r>
      <w:proofErr w:type="spellStart"/>
      <w:r>
        <w:t>the</w:t>
      </w:r>
      <w:proofErr w:type="spellEnd"/>
      <w:r>
        <w:t xml:space="preserve"> be a matter for the newly formed authorities resulting from LGR. </w:t>
      </w:r>
    </w:p>
    <w:p w14:paraId="70635196" w14:textId="298A5F7F" w:rsidR="002312EA" w:rsidRDefault="002312EA" w:rsidP="002B6836">
      <w:pPr>
        <w:pStyle w:val="Heading1"/>
      </w:pPr>
      <w:r>
        <w:t xml:space="preserve">Alternative Options Considered </w:t>
      </w:r>
    </w:p>
    <w:p w14:paraId="766BBA3C" w14:textId="77777777" w:rsidR="008B10CD" w:rsidRPr="009655FF" w:rsidRDefault="008B10CD" w:rsidP="008B10CD">
      <w:pPr>
        <w:pStyle w:val="bParagraphtext"/>
        <w:numPr>
          <w:ilvl w:val="0"/>
          <w:numId w:val="42"/>
        </w:numPr>
        <w:spacing w:before="240"/>
      </w:pPr>
      <w:r w:rsidRPr="009655FF">
        <w:t>Maintain the current policy</w:t>
      </w:r>
    </w:p>
    <w:p w14:paraId="1DD49060" w14:textId="2F095F7A" w:rsidR="008B10CD" w:rsidRDefault="008B10CD" w:rsidP="008B10CD">
      <w:pPr>
        <w:pStyle w:val="bParagraphtext"/>
        <w:numPr>
          <w:ilvl w:val="0"/>
          <w:numId w:val="0"/>
        </w:numPr>
        <w:spacing w:before="240"/>
        <w:ind w:left="720"/>
      </w:pPr>
      <w:r>
        <w:t xml:space="preserve">Retain the existing implementation date of 1st January 2026, requiring all new and renewal HCV applications to meet the Ultra-Low Emissions Vehicle standard. This is not proposed due to the complexities as set out in the report. </w:t>
      </w:r>
    </w:p>
    <w:p w14:paraId="7EB38106" w14:textId="77777777" w:rsidR="008B10CD" w:rsidRPr="009655FF" w:rsidRDefault="008B10CD" w:rsidP="008B10CD">
      <w:pPr>
        <w:pStyle w:val="bParagraphtext"/>
        <w:numPr>
          <w:ilvl w:val="0"/>
          <w:numId w:val="42"/>
        </w:numPr>
        <w:spacing w:before="240"/>
      </w:pPr>
      <w:r w:rsidRPr="009655FF">
        <w:t>Extend the deadline by one year</w:t>
      </w:r>
    </w:p>
    <w:p w14:paraId="5556DAA0" w14:textId="2293593C" w:rsidR="002312EA" w:rsidRPr="008B10CD" w:rsidRDefault="008B10CD" w:rsidP="008B10CD">
      <w:pPr>
        <w:pStyle w:val="bParagraphtext"/>
        <w:numPr>
          <w:ilvl w:val="0"/>
          <w:numId w:val="0"/>
        </w:numPr>
        <w:spacing w:before="240"/>
        <w:ind w:left="720"/>
      </w:pPr>
      <w:r>
        <w:t xml:space="preserve">Amend the policy to defer the final phase by 12 months, setting a new implementation date of 1st January 2027, allowing additional time for transition while maintaining momentum towards the Council’s environmental objectives. This will not remove the complexities of LGR. </w:t>
      </w:r>
    </w:p>
    <w:p w14:paraId="485FA2EF" w14:textId="1450874D" w:rsidR="00E87F7A" w:rsidRDefault="00E87F7A" w:rsidP="002B6836">
      <w:pPr>
        <w:pStyle w:val="Heading1"/>
      </w:pPr>
      <w:r w:rsidRPr="001356F1">
        <w:t xml:space="preserve">Other implications </w:t>
      </w:r>
    </w:p>
    <w:p w14:paraId="6D9F2E8D" w14:textId="77777777" w:rsidR="002F06D7" w:rsidRPr="002B6836" w:rsidRDefault="002F06D7" w:rsidP="002F06D7">
      <w:pPr>
        <w:pStyle w:val="Heading1"/>
      </w:pPr>
      <w:r w:rsidRPr="002B6836">
        <w:t>Financial implications</w:t>
      </w:r>
    </w:p>
    <w:p w14:paraId="7ACA66E3" w14:textId="61156477" w:rsidR="002F06D7" w:rsidRDefault="002F06D7" w:rsidP="002F06D7">
      <w:pPr>
        <w:pStyle w:val="ListParagraph"/>
        <w:numPr>
          <w:ilvl w:val="0"/>
          <w:numId w:val="38"/>
        </w:numPr>
        <w:tabs>
          <w:tab w:val="clear" w:pos="426"/>
          <w:tab w:val="left" w:pos="567"/>
        </w:tabs>
        <w:spacing w:before="240"/>
        <w:ind w:left="567" w:hanging="567"/>
      </w:pPr>
      <w:r>
        <w:t xml:space="preserve">The updated financial implications on the hackney carriage trade are outlined in the affordability and emissions report found at </w:t>
      </w:r>
      <w:r w:rsidRPr="00BC4A2C">
        <w:rPr>
          <w:b/>
          <w:bCs/>
        </w:rPr>
        <w:t>Appendix Four.</w:t>
      </w:r>
    </w:p>
    <w:p w14:paraId="31827BD4" w14:textId="06771F56" w:rsidR="002F06D7" w:rsidRDefault="002F06D7" w:rsidP="002F06D7">
      <w:pPr>
        <w:pStyle w:val="Heading1"/>
      </w:pPr>
      <w:r w:rsidRPr="001356F1">
        <w:t>Legal issues</w:t>
      </w:r>
    </w:p>
    <w:p w14:paraId="2205EE8E" w14:textId="3EFE2583" w:rsidR="002F06D7" w:rsidRDefault="002F06D7" w:rsidP="006B659E">
      <w:pPr>
        <w:pStyle w:val="ListParagraph"/>
        <w:numPr>
          <w:ilvl w:val="0"/>
          <w:numId w:val="38"/>
        </w:numPr>
        <w:tabs>
          <w:tab w:val="clear" w:pos="426"/>
          <w:tab w:val="left" w:pos="567"/>
        </w:tabs>
        <w:spacing w:before="240"/>
        <w:ind w:left="567" w:hanging="567"/>
      </w:pPr>
      <w:r>
        <w:t>Though the decision is still stated as a matter for Full Council in the Constitution Part 2.1 states that the Council will follow the Constitution unless it conflicts with the law. As set out in the report that is currently the case as advised by Counsel. As such it is considered that in this case the Constitution does not apply and Cabinet is able to take the decision in line with the Regulations.</w:t>
      </w:r>
    </w:p>
    <w:p w14:paraId="4DE35308" w14:textId="77777777" w:rsidR="002F06D7" w:rsidRDefault="002F06D7" w:rsidP="002F06D7">
      <w:pPr>
        <w:pStyle w:val="ListParagraph"/>
        <w:numPr>
          <w:ilvl w:val="0"/>
          <w:numId w:val="38"/>
        </w:numPr>
        <w:tabs>
          <w:tab w:val="clear" w:pos="426"/>
          <w:tab w:val="left" w:pos="567"/>
        </w:tabs>
        <w:spacing w:before="240"/>
        <w:ind w:left="567" w:hanging="567"/>
      </w:pPr>
      <w:r>
        <w:t xml:space="preserve">All other legal implications are contained within the report. </w:t>
      </w:r>
    </w:p>
    <w:p w14:paraId="39265579" w14:textId="77777777" w:rsidR="002329CF" w:rsidRPr="001356F1" w:rsidRDefault="002329CF" w:rsidP="004A6D2F">
      <w:pPr>
        <w:pStyle w:val="Heading1"/>
      </w:pPr>
      <w:r w:rsidRPr="001356F1">
        <w:t>Level of risk</w:t>
      </w:r>
    </w:p>
    <w:p w14:paraId="578908C3" w14:textId="4270370E" w:rsidR="000E0CE0" w:rsidRPr="000E0CE0" w:rsidRDefault="000E0CE0" w:rsidP="000E0CE0">
      <w:pPr>
        <w:pStyle w:val="Heading1"/>
        <w:numPr>
          <w:ilvl w:val="0"/>
          <w:numId w:val="38"/>
        </w:numPr>
        <w:ind w:left="567" w:hanging="567"/>
        <w:rPr>
          <w:b w:val="0"/>
        </w:rPr>
      </w:pPr>
      <w:r w:rsidRPr="000E0CE0">
        <w:rPr>
          <w:b w:val="0"/>
        </w:rPr>
        <w:t xml:space="preserve">This decision presents several key risks: potential emissions impacts as detailed in the 'Affordability and Emissions Report', which may conflict with the Council's environmental objectives; financial implications for existing hackney carriage proprietors, potentially affecting their viability and competitiveness; and misalignment with the Local Government Reorganisation policy timetable, where acting prematurely could necessitate future reversal or adjustment of decisions, </w:t>
      </w:r>
      <w:r w:rsidRPr="000E0CE0">
        <w:rPr>
          <w:b w:val="0"/>
        </w:rPr>
        <w:lastRenderedPageBreak/>
        <w:t>undermining policy coherence. Additionally, this decision may create a perception of unfairness among proprietors who have already invested in ULEV standard hackney carriage vehicles.</w:t>
      </w:r>
    </w:p>
    <w:p w14:paraId="2399E607" w14:textId="3527EBAD" w:rsidR="002329CF" w:rsidRPr="001356F1" w:rsidRDefault="002329CF" w:rsidP="0050321C">
      <w:pPr>
        <w:pStyle w:val="Heading1"/>
      </w:pPr>
      <w:r w:rsidRPr="001356F1">
        <w:t xml:space="preserve">Equalities impact </w:t>
      </w:r>
    </w:p>
    <w:p w14:paraId="621A5FDA" w14:textId="7F0006FD" w:rsidR="00FB3B71" w:rsidRDefault="00CB52F6" w:rsidP="00F930E9">
      <w:pPr>
        <w:pStyle w:val="ListParagraph"/>
        <w:numPr>
          <w:ilvl w:val="0"/>
          <w:numId w:val="38"/>
        </w:numPr>
      </w:pPr>
      <w:bookmarkStart w:id="1" w:name="_Hlk184712181"/>
      <w:r>
        <w:t xml:space="preserve">This is considered in the attached Equalities Impact Assessment at Appendix 5 of this report. </w:t>
      </w:r>
    </w:p>
    <w:bookmarkEnd w:id="1"/>
    <w:p w14:paraId="28DC08B6" w14:textId="77777777" w:rsidR="00FB3B71" w:rsidRPr="00FB3B71" w:rsidRDefault="00FB3B71" w:rsidP="002B0329">
      <w:pPr>
        <w:pStyle w:val="bParagraphtext"/>
        <w:numPr>
          <w:ilvl w:val="0"/>
          <w:numId w:val="0"/>
        </w:numPr>
        <w:rPr>
          <w:b/>
        </w:rPr>
      </w:pPr>
    </w:p>
    <w:p w14:paraId="1C46F1C8" w14:textId="77777777" w:rsidR="00FB3B71" w:rsidRDefault="00950824" w:rsidP="00FB3B71">
      <w:pPr>
        <w:pStyle w:val="bParagraphtext"/>
        <w:numPr>
          <w:ilvl w:val="0"/>
          <w:numId w:val="0"/>
        </w:numPr>
      </w:pPr>
      <w:bookmarkStart w:id="2" w:name="_Hlk184712246"/>
      <w:r>
        <w:rPr>
          <w:b/>
        </w:rPr>
        <w:t>Carbon and Environmental Considerations</w:t>
      </w:r>
      <w:r w:rsidR="00FB3B71" w:rsidRPr="00FB3B71">
        <w:rPr>
          <w:b/>
        </w:rPr>
        <w:t xml:space="preserve"> </w:t>
      </w:r>
    </w:p>
    <w:bookmarkEnd w:id="2"/>
    <w:p w14:paraId="7690DF5C" w14:textId="77777777" w:rsidR="00CB52F6" w:rsidRPr="00CB52F6" w:rsidRDefault="00CB52F6" w:rsidP="00CB52F6">
      <w:pPr>
        <w:pStyle w:val="ListParagraph"/>
        <w:numPr>
          <w:ilvl w:val="0"/>
          <w:numId w:val="38"/>
        </w:numPr>
        <w:tabs>
          <w:tab w:val="clear" w:pos="426"/>
          <w:tab w:val="left" w:pos="567"/>
        </w:tabs>
        <w:spacing w:before="240"/>
        <w:ind w:left="567" w:hanging="567"/>
      </w:pPr>
      <w:r>
        <w:t xml:space="preserve">These are set out in the report and appendices. </w:t>
      </w:r>
    </w:p>
    <w:p w14:paraId="31DA3D9A" w14:textId="77777777" w:rsidR="00FB3B71" w:rsidRDefault="00FB3B71" w:rsidP="00FB3B71">
      <w:pPr>
        <w:pStyle w:val="bParagraphtext"/>
        <w:numPr>
          <w:ilvl w:val="0"/>
          <w:numId w:val="0"/>
        </w:numPr>
        <w:rPr>
          <w:b/>
        </w:rPr>
      </w:pPr>
    </w:p>
    <w:p w14:paraId="1C7A0F5E" w14:textId="77777777" w:rsidR="00FB3B71" w:rsidRPr="00FB3B71" w:rsidRDefault="00FB3B71" w:rsidP="00FB3B71">
      <w:pPr>
        <w:pStyle w:val="bParagraphtext"/>
        <w:numPr>
          <w:ilvl w:val="0"/>
          <w:numId w:val="0"/>
        </w:numPr>
        <w:rPr>
          <w:b/>
        </w:rPr>
      </w:pPr>
      <w:r w:rsidRPr="00FB3B71">
        <w:rPr>
          <w:b/>
        </w:rPr>
        <w:t>Conclusion</w:t>
      </w:r>
    </w:p>
    <w:p w14:paraId="11AC5B7F" w14:textId="7A993C3B" w:rsidR="00E206D6" w:rsidRPr="002B6836" w:rsidRDefault="00B072A7" w:rsidP="00F930E9">
      <w:pPr>
        <w:pStyle w:val="ListParagraph"/>
        <w:numPr>
          <w:ilvl w:val="0"/>
          <w:numId w:val="38"/>
        </w:numPr>
      </w:pPr>
      <w:r>
        <w:t xml:space="preserve">In conclusion Cabinet is asked to consider delaying the implementation of the Emissions Standards as set out in the recommendations. Based on advice this is to be taken by Cabinet to provide a decision and certainty sooner, before the governance and decision making issues are resolved by Full Council later this month. </w:t>
      </w:r>
    </w:p>
    <w:p w14:paraId="1C3EE284" w14:textId="77777777" w:rsidR="00E206D6" w:rsidRPr="001356F1" w:rsidRDefault="00E206D6" w:rsidP="00E206D6">
      <w:pPr>
        <w:pStyle w:val="ListParagraph"/>
        <w:numPr>
          <w:ilvl w:val="0"/>
          <w:numId w:val="0"/>
        </w:numPr>
        <w:ind w:left="426"/>
      </w:pPr>
    </w:p>
    <w:p w14:paraId="3384B174" w14:textId="77777777" w:rsidR="002329CF" w:rsidRPr="001356F1" w:rsidRDefault="002329CF" w:rsidP="004A6D2F"/>
    <w:tbl>
      <w:tblPr>
        <w:tblW w:w="0" w:type="auto"/>
        <w:tblInd w:w="108" w:type="dxa"/>
        <w:tblBorders>
          <w:top w:val="single" w:sz="4" w:space="0" w:color="C0504D"/>
          <w:left w:val="single" w:sz="4" w:space="0" w:color="C0504D"/>
          <w:bottom w:val="single" w:sz="4" w:space="0" w:color="C0504D"/>
          <w:right w:val="single" w:sz="4" w:space="0" w:color="C0504D"/>
        </w:tblBorders>
        <w:tblLook w:val="04A0" w:firstRow="1" w:lastRow="0" w:firstColumn="1" w:lastColumn="0" w:noHBand="0" w:noVBand="1"/>
      </w:tblPr>
      <w:tblGrid>
        <w:gridCol w:w="3969"/>
        <w:gridCol w:w="4962"/>
      </w:tblGrid>
      <w:tr w:rsidR="00DF093E" w:rsidRPr="001356F1" w14:paraId="0FA94296" w14:textId="77777777" w:rsidTr="00A46E98">
        <w:trPr>
          <w:cantSplit/>
          <w:trHeight w:val="396"/>
        </w:trPr>
        <w:tc>
          <w:tcPr>
            <w:tcW w:w="3969" w:type="dxa"/>
            <w:tcBorders>
              <w:top w:val="single" w:sz="8" w:space="0" w:color="000000"/>
              <w:left w:val="single" w:sz="8" w:space="0" w:color="000000"/>
              <w:bottom w:val="single" w:sz="8" w:space="0" w:color="000000"/>
              <w:right w:val="nil"/>
            </w:tcBorders>
            <w:shd w:val="clear" w:color="auto" w:fill="auto"/>
          </w:tcPr>
          <w:p w14:paraId="04987E45" w14:textId="77777777" w:rsidR="00E87F7A" w:rsidRPr="001356F1" w:rsidRDefault="00E87F7A" w:rsidP="00A46E98">
            <w:pPr>
              <w:rPr>
                <w:b/>
              </w:rPr>
            </w:pPr>
            <w:r w:rsidRPr="001356F1">
              <w:rPr>
                <w:b/>
              </w:rPr>
              <w:t>Report author</w:t>
            </w:r>
          </w:p>
        </w:tc>
        <w:tc>
          <w:tcPr>
            <w:tcW w:w="4962" w:type="dxa"/>
            <w:tcBorders>
              <w:top w:val="single" w:sz="8" w:space="0" w:color="000000"/>
              <w:left w:val="nil"/>
              <w:bottom w:val="single" w:sz="8" w:space="0" w:color="000000"/>
              <w:right w:val="single" w:sz="8" w:space="0" w:color="000000"/>
            </w:tcBorders>
            <w:shd w:val="clear" w:color="auto" w:fill="auto"/>
          </w:tcPr>
          <w:p w14:paraId="6930C959" w14:textId="3C455BAA" w:rsidR="00E87F7A" w:rsidRPr="001356F1" w:rsidRDefault="00B072A7" w:rsidP="00A46E98">
            <w:r>
              <w:t xml:space="preserve">Emma Jackman </w:t>
            </w:r>
          </w:p>
        </w:tc>
      </w:tr>
      <w:tr w:rsidR="00DF093E" w:rsidRPr="001356F1" w14:paraId="07A5B9C2" w14:textId="77777777" w:rsidTr="00A46E98">
        <w:trPr>
          <w:cantSplit/>
          <w:trHeight w:val="396"/>
        </w:trPr>
        <w:tc>
          <w:tcPr>
            <w:tcW w:w="3969" w:type="dxa"/>
            <w:tcBorders>
              <w:top w:val="single" w:sz="8" w:space="0" w:color="000000"/>
              <w:left w:val="single" w:sz="8" w:space="0" w:color="000000"/>
              <w:bottom w:val="nil"/>
              <w:right w:val="nil"/>
            </w:tcBorders>
            <w:shd w:val="clear" w:color="auto" w:fill="auto"/>
          </w:tcPr>
          <w:p w14:paraId="6B6C3381" w14:textId="77777777" w:rsidR="00E87F7A" w:rsidRPr="001356F1" w:rsidRDefault="00E87F7A" w:rsidP="00A46E98">
            <w:r w:rsidRPr="001356F1">
              <w:t>Job title</w:t>
            </w:r>
          </w:p>
        </w:tc>
        <w:tc>
          <w:tcPr>
            <w:tcW w:w="4962" w:type="dxa"/>
            <w:tcBorders>
              <w:top w:val="single" w:sz="8" w:space="0" w:color="000000"/>
              <w:left w:val="nil"/>
              <w:bottom w:val="nil"/>
              <w:right w:val="single" w:sz="8" w:space="0" w:color="000000"/>
            </w:tcBorders>
            <w:shd w:val="clear" w:color="auto" w:fill="auto"/>
          </w:tcPr>
          <w:p w14:paraId="3100D2DA" w14:textId="3E838C50" w:rsidR="00E87F7A" w:rsidRPr="001356F1" w:rsidRDefault="00B072A7" w:rsidP="00A46E98">
            <w:r>
              <w:t xml:space="preserve">Director of Law, Governance and Strategy </w:t>
            </w:r>
          </w:p>
        </w:tc>
      </w:tr>
      <w:tr w:rsidR="00DF093E" w:rsidRPr="001356F1" w14:paraId="6DEB5543" w14:textId="77777777" w:rsidTr="00A46E98">
        <w:trPr>
          <w:cantSplit/>
          <w:trHeight w:val="396"/>
        </w:trPr>
        <w:tc>
          <w:tcPr>
            <w:tcW w:w="3969" w:type="dxa"/>
            <w:tcBorders>
              <w:top w:val="nil"/>
              <w:left w:val="single" w:sz="8" w:space="0" w:color="000000"/>
              <w:bottom w:val="nil"/>
              <w:right w:val="nil"/>
            </w:tcBorders>
            <w:shd w:val="clear" w:color="auto" w:fill="auto"/>
          </w:tcPr>
          <w:p w14:paraId="7BD402AB" w14:textId="77777777" w:rsidR="00E87F7A" w:rsidRPr="001356F1" w:rsidRDefault="00E87F7A" w:rsidP="00A46E98">
            <w:r w:rsidRPr="001356F1">
              <w:t>Service area or department</w:t>
            </w:r>
          </w:p>
        </w:tc>
        <w:tc>
          <w:tcPr>
            <w:tcW w:w="4962" w:type="dxa"/>
            <w:tcBorders>
              <w:top w:val="nil"/>
              <w:left w:val="nil"/>
              <w:bottom w:val="nil"/>
              <w:right w:val="single" w:sz="8" w:space="0" w:color="000000"/>
            </w:tcBorders>
            <w:shd w:val="clear" w:color="auto" w:fill="auto"/>
          </w:tcPr>
          <w:p w14:paraId="0F7746FF" w14:textId="4696336E" w:rsidR="00E87F7A" w:rsidRPr="001356F1" w:rsidRDefault="00893C36" w:rsidP="00A46E98">
            <w:r>
              <w:t xml:space="preserve">Corporate Services </w:t>
            </w:r>
          </w:p>
        </w:tc>
      </w:tr>
      <w:tr w:rsidR="005570B5" w:rsidRPr="001356F1" w14:paraId="40AEFD69" w14:textId="77777777" w:rsidTr="00A46E98">
        <w:trPr>
          <w:cantSplit/>
          <w:trHeight w:val="396"/>
        </w:trPr>
        <w:tc>
          <w:tcPr>
            <w:tcW w:w="3969" w:type="dxa"/>
            <w:tcBorders>
              <w:top w:val="nil"/>
              <w:left w:val="single" w:sz="8" w:space="0" w:color="000000"/>
              <w:bottom w:val="single" w:sz="8" w:space="0" w:color="000000"/>
              <w:right w:val="nil"/>
            </w:tcBorders>
            <w:shd w:val="clear" w:color="auto" w:fill="auto"/>
          </w:tcPr>
          <w:p w14:paraId="5C2DD139" w14:textId="77777777" w:rsidR="00E87F7A" w:rsidRPr="001356F1" w:rsidRDefault="00E87F7A" w:rsidP="00A46E98">
            <w:r w:rsidRPr="001356F1">
              <w:t xml:space="preserve">e-mail </w:t>
            </w:r>
          </w:p>
        </w:tc>
        <w:tc>
          <w:tcPr>
            <w:tcW w:w="4962" w:type="dxa"/>
            <w:tcBorders>
              <w:top w:val="nil"/>
              <w:left w:val="nil"/>
              <w:bottom w:val="single" w:sz="8" w:space="0" w:color="000000"/>
              <w:right w:val="single" w:sz="8" w:space="0" w:color="000000"/>
            </w:tcBorders>
            <w:shd w:val="clear" w:color="auto" w:fill="auto"/>
          </w:tcPr>
          <w:p w14:paraId="64C04F4C" w14:textId="1600D8DE" w:rsidR="00E87F7A" w:rsidRPr="001356F1" w:rsidRDefault="00893C36" w:rsidP="00A46E98">
            <w:pPr>
              <w:rPr>
                <w:rStyle w:val="Hyperlink"/>
                <w:color w:val="000000"/>
              </w:rPr>
            </w:pPr>
            <w:r>
              <w:rPr>
                <w:rStyle w:val="Hyperlink"/>
                <w:color w:val="000000"/>
              </w:rPr>
              <w:t>ejackman@oxford.gov.uk</w:t>
            </w:r>
          </w:p>
        </w:tc>
      </w:tr>
    </w:tbl>
    <w:p w14:paraId="143C8714" w14:textId="77777777" w:rsidR="00433B96" w:rsidRPr="001356F1" w:rsidRDefault="00433B96" w:rsidP="004A6D2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364"/>
      </w:tblGrid>
      <w:tr w:rsidR="00DF093E" w:rsidRPr="001356F1" w14:paraId="12CCF8EE" w14:textId="77777777" w:rsidTr="62B73EE3">
        <w:tc>
          <w:tcPr>
            <w:tcW w:w="8931" w:type="dxa"/>
            <w:gridSpan w:val="2"/>
            <w:tcBorders>
              <w:top w:val="single" w:sz="4" w:space="0" w:color="auto"/>
              <w:left w:val="single" w:sz="4" w:space="0" w:color="auto"/>
              <w:bottom w:val="single" w:sz="8" w:space="0" w:color="000000" w:themeColor="text1"/>
              <w:right w:val="single" w:sz="4" w:space="0" w:color="auto"/>
            </w:tcBorders>
            <w:shd w:val="clear" w:color="auto" w:fill="auto"/>
          </w:tcPr>
          <w:p w14:paraId="7116CD40" w14:textId="517A0FA5" w:rsidR="0093067A" w:rsidRPr="00B267D3" w:rsidRDefault="282C914F" w:rsidP="00B267D3">
            <w:r w:rsidRPr="62B73EE3">
              <w:rPr>
                <w:rStyle w:val="Firstpagetablebold"/>
              </w:rPr>
              <w:t xml:space="preserve">Background Papers: </w:t>
            </w:r>
          </w:p>
        </w:tc>
      </w:tr>
      <w:tr w:rsidR="00DF093E" w:rsidRPr="001356F1" w14:paraId="4B513816" w14:textId="77777777" w:rsidTr="62B73EE3">
        <w:tc>
          <w:tcPr>
            <w:tcW w:w="567" w:type="dxa"/>
            <w:tcBorders>
              <w:top w:val="single" w:sz="8" w:space="0" w:color="000000" w:themeColor="text1"/>
              <w:left w:val="single" w:sz="8" w:space="0" w:color="000000" w:themeColor="text1"/>
              <w:bottom w:val="nil"/>
              <w:right w:val="nil"/>
            </w:tcBorders>
            <w:shd w:val="clear" w:color="auto" w:fill="auto"/>
          </w:tcPr>
          <w:p w14:paraId="5C766C7F" w14:textId="77777777" w:rsidR="0093067A" w:rsidRPr="001356F1" w:rsidRDefault="00182B81" w:rsidP="00F41AC1">
            <w:r w:rsidRPr="001356F1">
              <w:t>1</w:t>
            </w:r>
          </w:p>
        </w:tc>
        <w:tc>
          <w:tcPr>
            <w:tcW w:w="8364" w:type="dxa"/>
            <w:tcBorders>
              <w:top w:val="single" w:sz="8" w:space="0" w:color="000000" w:themeColor="text1"/>
              <w:left w:val="nil"/>
              <w:bottom w:val="nil"/>
              <w:right w:val="single" w:sz="8" w:space="0" w:color="000000" w:themeColor="text1"/>
            </w:tcBorders>
          </w:tcPr>
          <w:p w14:paraId="462D1A28" w14:textId="16E62710" w:rsidR="0093067A" w:rsidRPr="001356F1" w:rsidRDefault="00467FE9" w:rsidP="005D0621">
            <w:hyperlink r:id="rId12" w:history="1">
              <w:r>
                <w:rPr>
                  <w:rStyle w:val="Hyperlink"/>
                </w:rPr>
                <w:t>Council Approval July 2019</w:t>
              </w:r>
            </w:hyperlink>
            <w:r>
              <w:t xml:space="preserve"> </w:t>
            </w:r>
          </w:p>
        </w:tc>
      </w:tr>
      <w:tr w:rsidR="00DF093E" w:rsidRPr="001356F1" w14:paraId="6C6E75FA" w14:textId="77777777" w:rsidTr="62B73EE3">
        <w:tc>
          <w:tcPr>
            <w:tcW w:w="567" w:type="dxa"/>
            <w:tcBorders>
              <w:top w:val="nil"/>
              <w:left w:val="single" w:sz="8" w:space="0" w:color="000000" w:themeColor="text1"/>
              <w:bottom w:val="nil"/>
              <w:right w:val="nil"/>
            </w:tcBorders>
            <w:shd w:val="clear" w:color="auto" w:fill="auto"/>
          </w:tcPr>
          <w:p w14:paraId="05E18FBE" w14:textId="77777777" w:rsidR="0093067A" w:rsidRPr="001356F1" w:rsidRDefault="00182B81" w:rsidP="00F41AC1">
            <w:r w:rsidRPr="001356F1">
              <w:t>2</w:t>
            </w:r>
          </w:p>
        </w:tc>
        <w:tc>
          <w:tcPr>
            <w:tcW w:w="8364" w:type="dxa"/>
            <w:tcBorders>
              <w:top w:val="nil"/>
              <w:left w:val="nil"/>
              <w:bottom w:val="nil"/>
              <w:right w:val="single" w:sz="8" w:space="0" w:color="000000" w:themeColor="text1"/>
            </w:tcBorders>
          </w:tcPr>
          <w:p w14:paraId="39542725" w14:textId="31C24227" w:rsidR="0093067A" w:rsidRPr="001356F1" w:rsidRDefault="00424BAB" w:rsidP="00F41AC1">
            <w:hyperlink r:id="rId13" w:history="1">
              <w:r>
                <w:rPr>
                  <w:rStyle w:val="Hyperlink"/>
                </w:rPr>
                <w:t>Council Approval March 2024</w:t>
              </w:r>
            </w:hyperlink>
            <w:r>
              <w:t xml:space="preserve"> </w:t>
            </w:r>
          </w:p>
        </w:tc>
      </w:tr>
      <w:tr w:rsidR="00DF093E" w:rsidRPr="001356F1" w14:paraId="1AC735B5" w14:textId="77777777" w:rsidTr="62B73EE3">
        <w:tc>
          <w:tcPr>
            <w:tcW w:w="567" w:type="dxa"/>
            <w:tcBorders>
              <w:top w:val="nil"/>
              <w:left w:val="single" w:sz="8" w:space="0" w:color="000000" w:themeColor="text1"/>
              <w:bottom w:val="nil"/>
              <w:right w:val="nil"/>
            </w:tcBorders>
            <w:shd w:val="clear" w:color="auto" w:fill="auto"/>
          </w:tcPr>
          <w:p w14:paraId="64B0F938" w14:textId="77777777" w:rsidR="0093067A" w:rsidRPr="001356F1" w:rsidRDefault="00182B81" w:rsidP="00F41AC1">
            <w:r w:rsidRPr="001356F1">
              <w:t>3</w:t>
            </w:r>
          </w:p>
        </w:tc>
        <w:tc>
          <w:tcPr>
            <w:tcW w:w="8364" w:type="dxa"/>
            <w:tcBorders>
              <w:top w:val="nil"/>
              <w:left w:val="nil"/>
              <w:bottom w:val="nil"/>
              <w:right w:val="single" w:sz="8" w:space="0" w:color="000000" w:themeColor="text1"/>
            </w:tcBorders>
          </w:tcPr>
          <w:p w14:paraId="7455CDDB" w14:textId="3B457C87" w:rsidR="0093067A" w:rsidRPr="001356F1" w:rsidRDefault="00B267D3" w:rsidP="00F41AC1">
            <w:hyperlink r:id="rId14" w:history="1">
              <w:r w:rsidRPr="00B267D3">
                <w:rPr>
                  <w:rStyle w:val="Hyperlink"/>
                </w:rPr>
                <w:t>Agenda for General Purposes Licensing Committee on Wednesday 23 January 2019, 6.15 pm | Oxford City Council</w:t>
              </w:r>
            </w:hyperlink>
          </w:p>
        </w:tc>
      </w:tr>
      <w:tr w:rsidR="005570B5" w:rsidRPr="00A46E98" w14:paraId="0EFBD437" w14:textId="77777777" w:rsidTr="62B73EE3">
        <w:tc>
          <w:tcPr>
            <w:tcW w:w="567" w:type="dxa"/>
            <w:tcBorders>
              <w:top w:val="nil"/>
              <w:left w:val="single" w:sz="8" w:space="0" w:color="000000" w:themeColor="text1"/>
              <w:bottom w:val="single" w:sz="8" w:space="0" w:color="000000" w:themeColor="text1"/>
              <w:right w:val="nil"/>
            </w:tcBorders>
            <w:shd w:val="clear" w:color="auto" w:fill="auto"/>
          </w:tcPr>
          <w:p w14:paraId="67643100" w14:textId="20CA952F" w:rsidR="0093067A" w:rsidRPr="00A46E98" w:rsidRDefault="0093067A" w:rsidP="00F41AC1"/>
        </w:tc>
        <w:tc>
          <w:tcPr>
            <w:tcW w:w="8364" w:type="dxa"/>
            <w:tcBorders>
              <w:top w:val="nil"/>
              <w:left w:val="nil"/>
              <w:bottom w:val="single" w:sz="8" w:space="0" w:color="000000" w:themeColor="text1"/>
              <w:right w:val="single" w:sz="8" w:space="0" w:color="000000" w:themeColor="text1"/>
            </w:tcBorders>
          </w:tcPr>
          <w:p w14:paraId="09B8BB73" w14:textId="77777777" w:rsidR="0093067A" w:rsidRPr="00A46E98" w:rsidRDefault="0093067A" w:rsidP="00F41AC1"/>
        </w:tc>
      </w:tr>
    </w:tbl>
    <w:p w14:paraId="1FE671BD" w14:textId="77777777" w:rsidR="004456DD" w:rsidRPr="009E51FC" w:rsidRDefault="004456DD" w:rsidP="0093067A"/>
    <w:sectPr w:rsidR="004456DD" w:rsidRPr="009E51FC" w:rsidSect="002B6836">
      <w:footerReference w:type="even" r:id="rId15"/>
      <w:headerReference w:type="first" r:id="rId16"/>
      <w:pgSz w:w="11906" w:h="16838" w:code="9"/>
      <w:pgMar w:top="1418" w:right="1304" w:bottom="1304" w:left="1304"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2F230" w14:textId="77777777" w:rsidR="00E71E88" w:rsidRDefault="00E71E88" w:rsidP="004A6D2F">
      <w:r>
        <w:separator/>
      </w:r>
    </w:p>
  </w:endnote>
  <w:endnote w:type="continuationSeparator" w:id="0">
    <w:p w14:paraId="1FEA9297" w14:textId="77777777" w:rsidR="00E71E88" w:rsidRDefault="00E71E88" w:rsidP="004A6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A7B8B" w14:textId="77777777" w:rsidR="00364FAD" w:rsidRDefault="00364FAD" w:rsidP="004A6D2F">
    <w:pPr>
      <w:pStyle w:val="Footer"/>
    </w:pPr>
    <w:r>
      <w:t>Do not use a footer or page numbers.</w:t>
    </w:r>
  </w:p>
  <w:p w14:paraId="20B2461C" w14:textId="77777777" w:rsidR="00364FAD" w:rsidRDefault="00364FAD" w:rsidP="004A6D2F">
    <w:pPr>
      <w:pStyle w:val="Footer"/>
    </w:pPr>
  </w:p>
  <w:p w14:paraId="72386601" w14:textId="77777777" w:rsidR="00364FAD" w:rsidRDefault="00364FAD" w:rsidP="004A6D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BD973" w14:textId="77777777" w:rsidR="00E71E88" w:rsidRDefault="00E71E88" w:rsidP="004A6D2F">
      <w:r>
        <w:separator/>
      </w:r>
    </w:p>
  </w:footnote>
  <w:footnote w:type="continuationSeparator" w:id="0">
    <w:p w14:paraId="1BA5E7CD" w14:textId="77777777" w:rsidR="00E71E88" w:rsidRDefault="00E71E88" w:rsidP="004A6D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D1F7F" w14:textId="77777777" w:rsidR="00D5547E" w:rsidRDefault="00C05260" w:rsidP="00D5547E">
    <w:pPr>
      <w:pStyle w:val="Header"/>
      <w:jc w:val="right"/>
    </w:pPr>
    <w:r>
      <w:rPr>
        <w:noProof/>
      </w:rPr>
      <w:drawing>
        <wp:inline distT="0" distB="0" distL="0" distR="0" wp14:anchorId="35341002" wp14:editId="2956E09D">
          <wp:extent cx="838200" cy="1119505"/>
          <wp:effectExtent l="0" t="0" r="0" b="4445"/>
          <wp:docPr id="1" name="Picture 1" title="Oxfor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11195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FDEC5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70EF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B46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90A3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B3476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F0603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C2530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CAEA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8815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7E431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C30BB"/>
    <w:multiLevelType w:val="multilevel"/>
    <w:tmpl w:val="E67CE66C"/>
    <w:styleLink w:val="StyleNumberedLeft0cmHanging075cm"/>
    <w:lvl w:ilvl="0">
      <w:start w:val="1"/>
      <w:numFmt w:val="decimal"/>
      <w:pStyle w:val="ListParagraph"/>
      <w:lvlText w:val="%1."/>
      <w:lvlJc w:val="left"/>
      <w:pPr>
        <w:ind w:left="360" w:hanging="360"/>
      </w:pPr>
      <w:rPr>
        <w:rFonts w:ascii="Arial" w:hAnsi="Arial"/>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49C05EF"/>
    <w:multiLevelType w:val="multilevel"/>
    <w:tmpl w:val="43D6D2FA"/>
    <w:numStyleLink w:val="StyleBulletedSymbolsymbolLeft063cmHanging063cm"/>
  </w:abstractNum>
  <w:abstractNum w:abstractNumId="13" w15:restartNumberingAfterBreak="0">
    <w:nsid w:val="092922A7"/>
    <w:multiLevelType w:val="hybridMultilevel"/>
    <w:tmpl w:val="2B26D4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A731236"/>
    <w:multiLevelType w:val="multilevel"/>
    <w:tmpl w:val="1700ACF6"/>
    <w:lvl w:ilvl="0">
      <w:start w:val="1"/>
      <w:numFmt w:val="decimal"/>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EFE3CBC"/>
    <w:multiLevelType w:val="hybridMultilevel"/>
    <w:tmpl w:val="8BD022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0980FC5"/>
    <w:multiLevelType w:val="hybridMultilevel"/>
    <w:tmpl w:val="5B36B17E"/>
    <w:lvl w:ilvl="0" w:tplc="AFA25F0A">
      <w:start w:val="1"/>
      <w:numFmt w:val="bullet"/>
      <w:pStyle w:val="Bulletpoints"/>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2263A6A"/>
    <w:multiLevelType w:val="multilevel"/>
    <w:tmpl w:val="43D6D2FA"/>
    <w:numStyleLink w:val="StyleBulletedSymbolsymbolLeft063cmHanging063cm"/>
  </w:abstractNum>
  <w:abstractNum w:abstractNumId="18" w15:restartNumberingAfterBreak="0">
    <w:nsid w:val="2C0A3AC3"/>
    <w:multiLevelType w:val="hybridMultilevel"/>
    <w:tmpl w:val="2B326A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E3586B"/>
    <w:multiLevelType w:val="hybridMultilevel"/>
    <w:tmpl w:val="88CA416C"/>
    <w:lvl w:ilvl="0" w:tplc="0DDAB9E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B0B4923"/>
    <w:multiLevelType w:val="hybridMultilevel"/>
    <w:tmpl w:val="2D8835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343E22"/>
    <w:multiLevelType w:val="hybridMultilevel"/>
    <w:tmpl w:val="3E3ABABA"/>
    <w:lvl w:ilvl="0" w:tplc="081A0C3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2027960"/>
    <w:multiLevelType w:val="hybridMultilevel"/>
    <w:tmpl w:val="501CC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7F1004"/>
    <w:multiLevelType w:val="hybridMultilevel"/>
    <w:tmpl w:val="4E022B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12530E"/>
    <w:multiLevelType w:val="hybridMultilevel"/>
    <w:tmpl w:val="CEECF3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6764EAF"/>
    <w:multiLevelType w:val="hybridMultilevel"/>
    <w:tmpl w:val="AB625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D8F2C59"/>
    <w:multiLevelType w:val="hybridMultilevel"/>
    <w:tmpl w:val="396C5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565907"/>
    <w:multiLevelType w:val="hybridMultilevel"/>
    <w:tmpl w:val="55949A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ABA5FD8"/>
    <w:multiLevelType w:val="multilevel"/>
    <w:tmpl w:val="43D6D2FA"/>
    <w:numStyleLink w:val="StyleBulletedSymbolsymbolLeft063cmHanging063cm"/>
  </w:abstractNum>
  <w:abstractNum w:abstractNumId="29" w15:restartNumberingAfterBreak="0">
    <w:nsid w:val="5B436CEB"/>
    <w:multiLevelType w:val="hybridMultilevel"/>
    <w:tmpl w:val="0A62AE2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C7E19E2"/>
    <w:multiLevelType w:val="hybridMultilevel"/>
    <w:tmpl w:val="3146A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A22831"/>
    <w:multiLevelType w:val="multilevel"/>
    <w:tmpl w:val="43D6D2FA"/>
    <w:numStyleLink w:val="StyleBulletedSymbolsymbolLeft063cmHanging063cm"/>
  </w:abstractNum>
  <w:abstractNum w:abstractNumId="32" w15:restartNumberingAfterBreak="0">
    <w:nsid w:val="6355128B"/>
    <w:multiLevelType w:val="hybridMultilevel"/>
    <w:tmpl w:val="3DCABBD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3" w15:restartNumberingAfterBreak="0">
    <w:nsid w:val="6A9F2B3C"/>
    <w:multiLevelType w:val="multilevel"/>
    <w:tmpl w:val="4C5820D8"/>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B1550E4"/>
    <w:multiLevelType w:val="hybridMultilevel"/>
    <w:tmpl w:val="DD86F5E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6539BA"/>
    <w:multiLevelType w:val="hybridMultilevel"/>
    <w:tmpl w:val="C1CC3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D16223"/>
    <w:multiLevelType w:val="hybridMultilevel"/>
    <w:tmpl w:val="E67CE6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39B459C"/>
    <w:multiLevelType w:val="multilevel"/>
    <w:tmpl w:val="4808D8DA"/>
    <w:lvl w:ilvl="0">
      <w:start w:val="1"/>
      <w:numFmt w:val="bullet"/>
      <w:lvlText w:val=""/>
      <w:lvlJc w:val="left"/>
      <w:pPr>
        <w:ind w:left="720" w:hanging="360"/>
      </w:pPr>
      <w:rPr>
        <w:rFonts w:ascii="Symbol" w:hAnsi="Symbol" w:hint="default"/>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98365C6"/>
    <w:multiLevelType w:val="multilevel"/>
    <w:tmpl w:val="E67CE66C"/>
    <w:numStyleLink w:val="StyleNumberedLeft0cmHanging075cm"/>
  </w:abstractNum>
  <w:abstractNum w:abstractNumId="39" w15:restartNumberingAfterBreak="0">
    <w:nsid w:val="7BCB6F6D"/>
    <w:multiLevelType w:val="hybridMultilevel"/>
    <w:tmpl w:val="78724C88"/>
    <w:lvl w:ilvl="0" w:tplc="82A8EA18">
      <w:start w:val="1"/>
      <w:numFmt w:val="upperLetter"/>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C4709F7"/>
    <w:multiLevelType w:val="hybridMultilevel"/>
    <w:tmpl w:val="0A62AE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6299310">
    <w:abstractNumId w:val="27"/>
  </w:num>
  <w:num w:numId="2" w16cid:durableId="643705505">
    <w:abstractNumId w:val="34"/>
  </w:num>
  <w:num w:numId="3" w16cid:durableId="1284848424">
    <w:abstractNumId w:val="24"/>
  </w:num>
  <w:num w:numId="4" w16cid:durableId="578908713">
    <w:abstractNumId w:val="18"/>
  </w:num>
  <w:num w:numId="5" w16cid:durableId="54470100">
    <w:abstractNumId w:val="30"/>
  </w:num>
  <w:num w:numId="6" w16cid:durableId="694158268">
    <w:abstractNumId w:val="36"/>
  </w:num>
  <w:num w:numId="7" w16cid:durableId="647516062">
    <w:abstractNumId w:val="23"/>
  </w:num>
  <w:num w:numId="8" w16cid:durableId="1160539719">
    <w:abstractNumId w:val="20"/>
  </w:num>
  <w:num w:numId="9" w16cid:durableId="1862670074">
    <w:abstractNumId w:val="13"/>
  </w:num>
  <w:num w:numId="10" w16cid:durableId="948585193">
    <w:abstractNumId w:val="15"/>
  </w:num>
  <w:num w:numId="11" w16cid:durableId="718482766">
    <w:abstractNumId w:val="26"/>
  </w:num>
  <w:num w:numId="12" w16cid:durableId="164051272">
    <w:abstractNumId w:val="25"/>
  </w:num>
  <w:num w:numId="13" w16cid:durableId="1450854030">
    <w:abstractNumId w:val="10"/>
  </w:num>
  <w:num w:numId="14" w16cid:durableId="373359476">
    <w:abstractNumId w:val="38"/>
  </w:num>
  <w:num w:numId="15" w16cid:durableId="1009412161">
    <w:abstractNumId w:val="16"/>
  </w:num>
  <w:num w:numId="16" w16cid:durableId="2041280933">
    <w:abstractNumId w:val="11"/>
  </w:num>
  <w:num w:numId="17" w16cid:durableId="471220593">
    <w:abstractNumId w:val="28"/>
  </w:num>
  <w:num w:numId="18" w16cid:durableId="1031035851">
    <w:abstractNumId w:val="12"/>
  </w:num>
  <w:num w:numId="19" w16cid:durableId="1402945545">
    <w:abstractNumId w:val="31"/>
  </w:num>
  <w:num w:numId="20" w16cid:durableId="1667248783">
    <w:abstractNumId w:val="17"/>
  </w:num>
  <w:num w:numId="21" w16cid:durableId="1353453069">
    <w:abstractNumId w:val="21"/>
  </w:num>
  <w:num w:numId="22" w16cid:durableId="592667723">
    <w:abstractNumId w:val="14"/>
  </w:num>
  <w:num w:numId="23" w16cid:durableId="37707020">
    <w:abstractNumId w:val="33"/>
  </w:num>
  <w:num w:numId="24" w16cid:durableId="162087179">
    <w:abstractNumId w:val="9"/>
  </w:num>
  <w:num w:numId="25" w16cid:durableId="1955359617">
    <w:abstractNumId w:val="8"/>
  </w:num>
  <w:num w:numId="26" w16cid:durableId="2025740696">
    <w:abstractNumId w:val="7"/>
  </w:num>
  <w:num w:numId="27" w16cid:durableId="439375354">
    <w:abstractNumId w:val="6"/>
  </w:num>
  <w:num w:numId="28" w16cid:durableId="2034837902">
    <w:abstractNumId w:val="5"/>
  </w:num>
  <w:num w:numId="29" w16cid:durableId="765544091">
    <w:abstractNumId w:val="4"/>
  </w:num>
  <w:num w:numId="30" w16cid:durableId="1249462447">
    <w:abstractNumId w:val="3"/>
  </w:num>
  <w:num w:numId="31" w16cid:durableId="790055611">
    <w:abstractNumId w:val="2"/>
  </w:num>
  <w:num w:numId="32" w16cid:durableId="913585048">
    <w:abstractNumId w:val="1"/>
  </w:num>
  <w:num w:numId="33" w16cid:durableId="1728189480">
    <w:abstractNumId w:val="0"/>
  </w:num>
  <w:num w:numId="34" w16cid:durableId="1370304610">
    <w:abstractNumId w:val="35"/>
  </w:num>
  <w:num w:numId="35" w16cid:durableId="1152941978">
    <w:abstractNumId w:val="19"/>
  </w:num>
  <w:num w:numId="36" w16cid:durableId="2006741231">
    <w:abstractNumId w:val="22"/>
  </w:num>
  <w:num w:numId="37" w16cid:durableId="1020403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81177112">
    <w:abstractNumId w:val="40"/>
  </w:num>
  <w:num w:numId="39" w16cid:durableId="1245066022">
    <w:abstractNumId w:val="29"/>
  </w:num>
  <w:num w:numId="40" w16cid:durableId="1004434520">
    <w:abstractNumId w:val="37"/>
  </w:num>
  <w:num w:numId="41" w16cid:durableId="349063989">
    <w:abstractNumId w:val="32"/>
  </w:num>
  <w:num w:numId="42" w16cid:durableId="1949770231">
    <w:abstractNumId w:val="3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ocumentProtection w:edit="trackedChange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B71"/>
    <w:rsid w:val="000117D4"/>
    <w:rsid w:val="00025250"/>
    <w:rsid w:val="000314D7"/>
    <w:rsid w:val="00034054"/>
    <w:rsid w:val="00045F8B"/>
    <w:rsid w:val="00046D2B"/>
    <w:rsid w:val="00056263"/>
    <w:rsid w:val="00064D8A"/>
    <w:rsid w:val="00064F82"/>
    <w:rsid w:val="0006616E"/>
    <w:rsid w:val="00066510"/>
    <w:rsid w:val="00077523"/>
    <w:rsid w:val="000B1DFC"/>
    <w:rsid w:val="000C089F"/>
    <w:rsid w:val="000C3928"/>
    <w:rsid w:val="000C5E8E"/>
    <w:rsid w:val="000E0CE0"/>
    <w:rsid w:val="000F4751"/>
    <w:rsid w:val="0010524C"/>
    <w:rsid w:val="00111FB1"/>
    <w:rsid w:val="00113418"/>
    <w:rsid w:val="00120630"/>
    <w:rsid w:val="00126BF8"/>
    <w:rsid w:val="001354A3"/>
    <w:rsid w:val="001356F1"/>
    <w:rsid w:val="00136994"/>
    <w:rsid w:val="0014128E"/>
    <w:rsid w:val="001473FF"/>
    <w:rsid w:val="00151888"/>
    <w:rsid w:val="00154095"/>
    <w:rsid w:val="00170A2D"/>
    <w:rsid w:val="001808BC"/>
    <w:rsid w:val="00182B81"/>
    <w:rsid w:val="0018619D"/>
    <w:rsid w:val="001A011E"/>
    <w:rsid w:val="001A066A"/>
    <w:rsid w:val="001A13E6"/>
    <w:rsid w:val="001A5731"/>
    <w:rsid w:val="001B42C3"/>
    <w:rsid w:val="001C1415"/>
    <w:rsid w:val="001C5D5E"/>
    <w:rsid w:val="001D678D"/>
    <w:rsid w:val="001E03F8"/>
    <w:rsid w:val="001E1678"/>
    <w:rsid w:val="001E3376"/>
    <w:rsid w:val="00204C9A"/>
    <w:rsid w:val="002069B3"/>
    <w:rsid w:val="002312EA"/>
    <w:rsid w:val="002329CF"/>
    <w:rsid w:val="00232F5B"/>
    <w:rsid w:val="00247C29"/>
    <w:rsid w:val="0026000B"/>
    <w:rsid w:val="00260467"/>
    <w:rsid w:val="00263EA3"/>
    <w:rsid w:val="00284F85"/>
    <w:rsid w:val="0028516F"/>
    <w:rsid w:val="002870C3"/>
    <w:rsid w:val="00290915"/>
    <w:rsid w:val="002A22E2"/>
    <w:rsid w:val="002B6836"/>
    <w:rsid w:val="002C64F7"/>
    <w:rsid w:val="002F06D7"/>
    <w:rsid w:val="002F41F2"/>
    <w:rsid w:val="00301BF3"/>
    <w:rsid w:val="0030208D"/>
    <w:rsid w:val="003022AD"/>
    <w:rsid w:val="003202A1"/>
    <w:rsid w:val="00323418"/>
    <w:rsid w:val="003357BF"/>
    <w:rsid w:val="0035033B"/>
    <w:rsid w:val="003543B0"/>
    <w:rsid w:val="00364FAD"/>
    <w:rsid w:val="0036738F"/>
    <w:rsid w:val="0036759C"/>
    <w:rsid w:val="00367AE5"/>
    <w:rsid w:val="00367D71"/>
    <w:rsid w:val="0038150A"/>
    <w:rsid w:val="003B6E75"/>
    <w:rsid w:val="003B7DA1"/>
    <w:rsid w:val="003D0379"/>
    <w:rsid w:val="003D2574"/>
    <w:rsid w:val="003D4C59"/>
    <w:rsid w:val="003F0CF8"/>
    <w:rsid w:val="003F4267"/>
    <w:rsid w:val="00404032"/>
    <w:rsid w:val="0040736F"/>
    <w:rsid w:val="00407710"/>
    <w:rsid w:val="00412C1F"/>
    <w:rsid w:val="004204B7"/>
    <w:rsid w:val="00421CB2"/>
    <w:rsid w:val="00424BAB"/>
    <w:rsid w:val="004268B9"/>
    <w:rsid w:val="00433B96"/>
    <w:rsid w:val="004440F1"/>
    <w:rsid w:val="004456DD"/>
    <w:rsid w:val="00446CDF"/>
    <w:rsid w:val="004521B7"/>
    <w:rsid w:val="004548E0"/>
    <w:rsid w:val="00462AB5"/>
    <w:rsid w:val="00462D22"/>
    <w:rsid w:val="00465EAF"/>
    <w:rsid w:val="00467FE9"/>
    <w:rsid w:val="004738C5"/>
    <w:rsid w:val="0047737B"/>
    <w:rsid w:val="00491046"/>
    <w:rsid w:val="00496078"/>
    <w:rsid w:val="004A2AC7"/>
    <w:rsid w:val="004A6D2F"/>
    <w:rsid w:val="004B11AE"/>
    <w:rsid w:val="004C2887"/>
    <w:rsid w:val="004D2626"/>
    <w:rsid w:val="004D6E26"/>
    <w:rsid w:val="004D77D3"/>
    <w:rsid w:val="004E2959"/>
    <w:rsid w:val="004F20EF"/>
    <w:rsid w:val="0050321C"/>
    <w:rsid w:val="00507ECC"/>
    <w:rsid w:val="0054712D"/>
    <w:rsid w:val="00547EF6"/>
    <w:rsid w:val="005570B5"/>
    <w:rsid w:val="00567E18"/>
    <w:rsid w:val="00575F5F"/>
    <w:rsid w:val="00581805"/>
    <w:rsid w:val="00585F76"/>
    <w:rsid w:val="005A34E4"/>
    <w:rsid w:val="005A6610"/>
    <w:rsid w:val="005B17F2"/>
    <w:rsid w:val="005B7FB0"/>
    <w:rsid w:val="005C35A5"/>
    <w:rsid w:val="005C577C"/>
    <w:rsid w:val="005D0621"/>
    <w:rsid w:val="005D1E27"/>
    <w:rsid w:val="005D2A3E"/>
    <w:rsid w:val="005E022E"/>
    <w:rsid w:val="005E5215"/>
    <w:rsid w:val="005F6AD4"/>
    <w:rsid w:val="005F7F7E"/>
    <w:rsid w:val="00614693"/>
    <w:rsid w:val="00623C2F"/>
    <w:rsid w:val="00633578"/>
    <w:rsid w:val="00637068"/>
    <w:rsid w:val="006419CA"/>
    <w:rsid w:val="00650811"/>
    <w:rsid w:val="00655339"/>
    <w:rsid w:val="00661D3E"/>
    <w:rsid w:val="006733F3"/>
    <w:rsid w:val="0067536C"/>
    <w:rsid w:val="00692627"/>
    <w:rsid w:val="006969E7"/>
    <w:rsid w:val="006A3643"/>
    <w:rsid w:val="006B10C2"/>
    <w:rsid w:val="006B659E"/>
    <w:rsid w:val="006C2A29"/>
    <w:rsid w:val="006C64CF"/>
    <w:rsid w:val="006D17B1"/>
    <w:rsid w:val="006D4752"/>
    <w:rsid w:val="006D708A"/>
    <w:rsid w:val="006E14C1"/>
    <w:rsid w:val="006F0292"/>
    <w:rsid w:val="006F27FA"/>
    <w:rsid w:val="006F416B"/>
    <w:rsid w:val="006F519B"/>
    <w:rsid w:val="007114AD"/>
    <w:rsid w:val="00713675"/>
    <w:rsid w:val="00715823"/>
    <w:rsid w:val="0072449C"/>
    <w:rsid w:val="007253EF"/>
    <w:rsid w:val="00737B93"/>
    <w:rsid w:val="00745BF0"/>
    <w:rsid w:val="00747149"/>
    <w:rsid w:val="00751EA3"/>
    <w:rsid w:val="007615FE"/>
    <w:rsid w:val="0076655C"/>
    <w:rsid w:val="0076795D"/>
    <w:rsid w:val="007742DC"/>
    <w:rsid w:val="00791437"/>
    <w:rsid w:val="007B0C2C"/>
    <w:rsid w:val="007B278E"/>
    <w:rsid w:val="007B5CA2"/>
    <w:rsid w:val="007C5C23"/>
    <w:rsid w:val="007E2A26"/>
    <w:rsid w:val="007F2348"/>
    <w:rsid w:val="007F4757"/>
    <w:rsid w:val="00803F07"/>
    <w:rsid w:val="00805B9C"/>
    <w:rsid w:val="0080749A"/>
    <w:rsid w:val="00821FB8"/>
    <w:rsid w:val="00822ACD"/>
    <w:rsid w:val="0082545B"/>
    <w:rsid w:val="00855C66"/>
    <w:rsid w:val="00865A0A"/>
    <w:rsid w:val="00871EE4"/>
    <w:rsid w:val="00883DE1"/>
    <w:rsid w:val="00893C36"/>
    <w:rsid w:val="008954DF"/>
    <w:rsid w:val="008B10CD"/>
    <w:rsid w:val="008B293F"/>
    <w:rsid w:val="008B3D3D"/>
    <w:rsid w:val="008B7371"/>
    <w:rsid w:val="008D3DDB"/>
    <w:rsid w:val="008F3B04"/>
    <w:rsid w:val="008F573F"/>
    <w:rsid w:val="009034EC"/>
    <w:rsid w:val="0093067A"/>
    <w:rsid w:val="00937F18"/>
    <w:rsid w:val="00941C60"/>
    <w:rsid w:val="00941FD1"/>
    <w:rsid w:val="00950824"/>
    <w:rsid w:val="009559B1"/>
    <w:rsid w:val="00966D42"/>
    <w:rsid w:val="00971689"/>
    <w:rsid w:val="0097170F"/>
    <w:rsid w:val="00973E90"/>
    <w:rsid w:val="00975B07"/>
    <w:rsid w:val="00980B4A"/>
    <w:rsid w:val="009B1739"/>
    <w:rsid w:val="009B3E8A"/>
    <w:rsid w:val="009B552F"/>
    <w:rsid w:val="009D5874"/>
    <w:rsid w:val="009E30E2"/>
    <w:rsid w:val="009E3D0A"/>
    <w:rsid w:val="009E51FC"/>
    <w:rsid w:val="009E76C8"/>
    <w:rsid w:val="009F1D28"/>
    <w:rsid w:val="009F7618"/>
    <w:rsid w:val="00A04D23"/>
    <w:rsid w:val="00A06766"/>
    <w:rsid w:val="00A13765"/>
    <w:rsid w:val="00A21B12"/>
    <w:rsid w:val="00A23F80"/>
    <w:rsid w:val="00A46E98"/>
    <w:rsid w:val="00A537A9"/>
    <w:rsid w:val="00A6352B"/>
    <w:rsid w:val="00A701B5"/>
    <w:rsid w:val="00A714BB"/>
    <w:rsid w:val="00A77147"/>
    <w:rsid w:val="00A84FCE"/>
    <w:rsid w:val="00A92D8F"/>
    <w:rsid w:val="00AB2988"/>
    <w:rsid w:val="00AB7999"/>
    <w:rsid w:val="00AD3292"/>
    <w:rsid w:val="00AE1684"/>
    <w:rsid w:val="00AE7AF0"/>
    <w:rsid w:val="00AF15BA"/>
    <w:rsid w:val="00AF4E78"/>
    <w:rsid w:val="00B072A7"/>
    <w:rsid w:val="00B267D3"/>
    <w:rsid w:val="00B500CA"/>
    <w:rsid w:val="00B86314"/>
    <w:rsid w:val="00BA1C2E"/>
    <w:rsid w:val="00BA37B1"/>
    <w:rsid w:val="00BC200B"/>
    <w:rsid w:val="00BC4756"/>
    <w:rsid w:val="00BC69A4"/>
    <w:rsid w:val="00BD6181"/>
    <w:rsid w:val="00BE0680"/>
    <w:rsid w:val="00BE305F"/>
    <w:rsid w:val="00BE7BA3"/>
    <w:rsid w:val="00BF242A"/>
    <w:rsid w:val="00BF5682"/>
    <w:rsid w:val="00BF7B09"/>
    <w:rsid w:val="00C05260"/>
    <w:rsid w:val="00C076B9"/>
    <w:rsid w:val="00C16B47"/>
    <w:rsid w:val="00C20A95"/>
    <w:rsid w:val="00C2692F"/>
    <w:rsid w:val="00C3207C"/>
    <w:rsid w:val="00C360B1"/>
    <w:rsid w:val="00C400E1"/>
    <w:rsid w:val="00C40FA3"/>
    <w:rsid w:val="00C41187"/>
    <w:rsid w:val="00C529A3"/>
    <w:rsid w:val="00C53C6D"/>
    <w:rsid w:val="00C63C31"/>
    <w:rsid w:val="00C757A0"/>
    <w:rsid w:val="00C760DE"/>
    <w:rsid w:val="00C82630"/>
    <w:rsid w:val="00C85B4E"/>
    <w:rsid w:val="00C85C32"/>
    <w:rsid w:val="00C907F7"/>
    <w:rsid w:val="00CA2103"/>
    <w:rsid w:val="00CB21E8"/>
    <w:rsid w:val="00CB52F6"/>
    <w:rsid w:val="00CB6B99"/>
    <w:rsid w:val="00CC06DD"/>
    <w:rsid w:val="00CD5749"/>
    <w:rsid w:val="00CE4C87"/>
    <w:rsid w:val="00CE544A"/>
    <w:rsid w:val="00D11E1C"/>
    <w:rsid w:val="00D160B0"/>
    <w:rsid w:val="00D17F94"/>
    <w:rsid w:val="00D223FC"/>
    <w:rsid w:val="00D24C37"/>
    <w:rsid w:val="00D26D1E"/>
    <w:rsid w:val="00D474CF"/>
    <w:rsid w:val="00D5547E"/>
    <w:rsid w:val="00D860E2"/>
    <w:rsid w:val="00D869A1"/>
    <w:rsid w:val="00D96516"/>
    <w:rsid w:val="00DA413F"/>
    <w:rsid w:val="00DA4584"/>
    <w:rsid w:val="00DA614B"/>
    <w:rsid w:val="00DB54C3"/>
    <w:rsid w:val="00DB5B3B"/>
    <w:rsid w:val="00DB7AD7"/>
    <w:rsid w:val="00DC3060"/>
    <w:rsid w:val="00DE0FB2"/>
    <w:rsid w:val="00DF093E"/>
    <w:rsid w:val="00DF2888"/>
    <w:rsid w:val="00DF6AE1"/>
    <w:rsid w:val="00E01F42"/>
    <w:rsid w:val="00E206D6"/>
    <w:rsid w:val="00E30E2D"/>
    <w:rsid w:val="00E3366E"/>
    <w:rsid w:val="00E50C42"/>
    <w:rsid w:val="00E52086"/>
    <w:rsid w:val="00E522DB"/>
    <w:rsid w:val="00E543A6"/>
    <w:rsid w:val="00E60479"/>
    <w:rsid w:val="00E61D73"/>
    <w:rsid w:val="00E71E88"/>
    <w:rsid w:val="00E73684"/>
    <w:rsid w:val="00E818D6"/>
    <w:rsid w:val="00E87F7A"/>
    <w:rsid w:val="00E94B3E"/>
    <w:rsid w:val="00E96BD7"/>
    <w:rsid w:val="00EA0DB1"/>
    <w:rsid w:val="00EA0EE9"/>
    <w:rsid w:val="00ED52CA"/>
    <w:rsid w:val="00ED5860"/>
    <w:rsid w:val="00EE2FE1"/>
    <w:rsid w:val="00EE35C9"/>
    <w:rsid w:val="00F05ECA"/>
    <w:rsid w:val="00F145E6"/>
    <w:rsid w:val="00F26E21"/>
    <w:rsid w:val="00F3566E"/>
    <w:rsid w:val="00F375FB"/>
    <w:rsid w:val="00F41AC1"/>
    <w:rsid w:val="00F4367A"/>
    <w:rsid w:val="00F445B1"/>
    <w:rsid w:val="00F45CD4"/>
    <w:rsid w:val="00F52606"/>
    <w:rsid w:val="00F66DCA"/>
    <w:rsid w:val="00F74F53"/>
    <w:rsid w:val="00F7606D"/>
    <w:rsid w:val="00F81670"/>
    <w:rsid w:val="00F82024"/>
    <w:rsid w:val="00F865A3"/>
    <w:rsid w:val="00F92101"/>
    <w:rsid w:val="00F930E9"/>
    <w:rsid w:val="00F95BC9"/>
    <w:rsid w:val="00FA624C"/>
    <w:rsid w:val="00FA665E"/>
    <w:rsid w:val="00FB3B71"/>
    <w:rsid w:val="00FD0FAC"/>
    <w:rsid w:val="00FD1DFA"/>
    <w:rsid w:val="00FD4966"/>
    <w:rsid w:val="00FE5114"/>
    <w:rsid w:val="00FE57DC"/>
    <w:rsid w:val="00FF095A"/>
    <w:rsid w:val="05B94C3D"/>
    <w:rsid w:val="07D434D5"/>
    <w:rsid w:val="0AEAD29A"/>
    <w:rsid w:val="0B89A7FD"/>
    <w:rsid w:val="0E137018"/>
    <w:rsid w:val="0ECD8498"/>
    <w:rsid w:val="0FB9297F"/>
    <w:rsid w:val="11DE2519"/>
    <w:rsid w:val="150E6135"/>
    <w:rsid w:val="16C788FA"/>
    <w:rsid w:val="187CEEE6"/>
    <w:rsid w:val="18B12936"/>
    <w:rsid w:val="1BC0B843"/>
    <w:rsid w:val="1BDE6ACD"/>
    <w:rsid w:val="1C62DB68"/>
    <w:rsid w:val="1E2AA5CE"/>
    <w:rsid w:val="22F0553C"/>
    <w:rsid w:val="238A6E87"/>
    <w:rsid w:val="24AA93AA"/>
    <w:rsid w:val="25C8DF4C"/>
    <w:rsid w:val="27395084"/>
    <w:rsid w:val="278ACBEA"/>
    <w:rsid w:val="282C914F"/>
    <w:rsid w:val="2875A525"/>
    <w:rsid w:val="29894939"/>
    <w:rsid w:val="2DC2B855"/>
    <w:rsid w:val="3323D874"/>
    <w:rsid w:val="33C8C2FF"/>
    <w:rsid w:val="34C5ADE6"/>
    <w:rsid w:val="34ECE2A5"/>
    <w:rsid w:val="35E68B5F"/>
    <w:rsid w:val="3742E73C"/>
    <w:rsid w:val="38C4BD77"/>
    <w:rsid w:val="3A028991"/>
    <w:rsid w:val="3A1580BC"/>
    <w:rsid w:val="3BB43EC8"/>
    <w:rsid w:val="3C9559B9"/>
    <w:rsid w:val="3D75EE1D"/>
    <w:rsid w:val="4165F553"/>
    <w:rsid w:val="431C3BF6"/>
    <w:rsid w:val="43F42839"/>
    <w:rsid w:val="47265693"/>
    <w:rsid w:val="4DC9FD09"/>
    <w:rsid w:val="4DF06A9C"/>
    <w:rsid w:val="51049B70"/>
    <w:rsid w:val="52141FE7"/>
    <w:rsid w:val="530E7F80"/>
    <w:rsid w:val="53124442"/>
    <w:rsid w:val="54BD7E5A"/>
    <w:rsid w:val="562DCFA1"/>
    <w:rsid w:val="571C62E4"/>
    <w:rsid w:val="58C16BAB"/>
    <w:rsid w:val="5C2301F2"/>
    <w:rsid w:val="5CD2A867"/>
    <w:rsid w:val="5D0EC0A9"/>
    <w:rsid w:val="5D6EE46E"/>
    <w:rsid w:val="5DE62121"/>
    <w:rsid w:val="60B35EF8"/>
    <w:rsid w:val="613D2893"/>
    <w:rsid w:val="62B73EE3"/>
    <w:rsid w:val="636BDC7A"/>
    <w:rsid w:val="6BFBC2A1"/>
    <w:rsid w:val="6ECA3545"/>
    <w:rsid w:val="70F8304B"/>
    <w:rsid w:val="7276546A"/>
    <w:rsid w:val="75E01BB2"/>
    <w:rsid w:val="76D8CABF"/>
    <w:rsid w:val="7F3A43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7421A9"/>
  <w15:docId w15:val="{5B2BA3E5-8E0C-4EC8-9220-F637E8568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5F76"/>
    <w:pPr>
      <w:spacing w:after="120"/>
    </w:pPr>
    <w:rPr>
      <w:color w:val="000000"/>
      <w:sz w:val="24"/>
      <w:szCs w:val="24"/>
    </w:rPr>
  </w:style>
  <w:style w:type="paragraph" w:styleId="Heading1">
    <w:name w:val="heading 1"/>
    <w:aliases w:val="aHeading"/>
    <w:basedOn w:val="Normal"/>
    <w:next w:val="Normal"/>
    <w:link w:val="Heading1Char"/>
    <w:qFormat/>
    <w:rsid w:val="002B6836"/>
    <w:pPr>
      <w:spacing w:before="240"/>
      <w:outlineLvl w:val="0"/>
    </w:pPr>
    <w:rPr>
      <w:b/>
    </w:rPr>
  </w:style>
  <w:style w:type="paragraph" w:styleId="Heading2">
    <w:name w:val="heading 2"/>
    <w:aliases w:val="Sub-heading"/>
    <w:basedOn w:val="Normal"/>
    <w:next w:val="Normal"/>
    <w:qFormat/>
    <w:rsid w:val="00F26E21"/>
    <w:pPr>
      <w:spacing w:before="120"/>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link w:val="FooterChar"/>
    <w:uiPriority w:val="99"/>
    <w:rsid w:val="004A6D2F"/>
    <w:pPr>
      <w:tabs>
        <w:tab w:val="center" w:pos="4153"/>
        <w:tab w:val="right" w:pos="8306"/>
      </w:tabs>
    </w:pPr>
    <w:rPr>
      <w:sz w:val="18"/>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customStyle="1" w:styleId="StyleBulletedSymbolsymbolLeft063cmHanging063cm">
    <w:name w:val="Style Bulleted Symbol (symbol) Left:  0.63 cm Hanging:  0.63 cm"/>
    <w:basedOn w:val="NoList"/>
    <w:rsid w:val="00E818D6"/>
    <w:pPr>
      <w:numPr>
        <w:numId w:val="16"/>
      </w:numPr>
    </w:pPr>
  </w:style>
  <w:style w:type="character" w:styleId="PageNumber">
    <w:name w:val="page number"/>
    <w:rsid w:val="004A6D2F"/>
    <w:rPr>
      <w:rFonts w:ascii="Arial" w:hAnsi="Arial"/>
      <w:sz w:val="18"/>
    </w:rPr>
  </w:style>
  <w:style w:type="character" w:styleId="Hyperlink">
    <w:name w:val="Hyperlink"/>
    <w:aliases w:val="set Hyperlink"/>
    <w:qFormat/>
    <w:rsid w:val="003D2574"/>
    <w:rPr>
      <w:rFonts w:ascii="Arial" w:hAnsi="Arial"/>
      <w:color w:val="0000FF"/>
      <w:sz w:val="24"/>
      <w:u w:val="single"/>
    </w:rPr>
  </w:style>
  <w:style w:type="table" w:styleId="TableGrid">
    <w:name w:val="Table Grid"/>
    <w:basedOn w:val="TableNormal"/>
    <w:rsid w:val="001A0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34"/>
    <w:qFormat/>
    <w:rsid w:val="005570B5"/>
    <w:pPr>
      <w:numPr>
        <w:numId w:val="14"/>
      </w:numPr>
      <w:tabs>
        <w:tab w:val="left" w:pos="426"/>
      </w:tabs>
    </w:pPr>
  </w:style>
  <w:style w:type="character" w:customStyle="1" w:styleId="HeaderChar">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customStyle="1" w:styleId="Tableandfigurecaption">
    <w:name w:val="Table and figure caption"/>
    <w:basedOn w:val="Heading2"/>
    <w:rsid w:val="00692627"/>
    <w:pPr>
      <w:ind w:left="360"/>
    </w:pPr>
    <w:rPr>
      <w:bCs/>
      <w:szCs w:val="20"/>
    </w:rPr>
  </w:style>
  <w:style w:type="numbering" w:customStyle="1" w:styleId="StyleNumberedLeft0cmHanging075cm">
    <w:name w:val="Style Numbered Left:  0 cm Hanging:  0.75 cm"/>
    <w:basedOn w:val="NoList"/>
    <w:rsid w:val="00E818D6"/>
    <w:pPr>
      <w:numPr>
        <w:numId w:val="13"/>
      </w:numPr>
    </w:pPr>
  </w:style>
  <w:style w:type="paragraph" w:customStyle="1" w:styleId="Bulletpoints">
    <w:name w:val="Bullet points"/>
    <w:basedOn w:val="Normal"/>
    <w:link w:val="BulletpointsChar"/>
    <w:qFormat/>
    <w:rsid w:val="005570B5"/>
    <w:pPr>
      <w:numPr>
        <w:numId w:val="15"/>
      </w:numPr>
      <w:tabs>
        <w:tab w:val="left" w:pos="993"/>
      </w:tabs>
      <w:ind w:left="993" w:hanging="425"/>
    </w:pPr>
  </w:style>
  <w:style w:type="paragraph" w:styleId="Quote">
    <w:name w:val="Quote"/>
    <w:basedOn w:val="Normal"/>
    <w:next w:val="Normal"/>
    <w:link w:val="QuoteChar"/>
    <w:uiPriority w:val="29"/>
    <w:qFormat/>
    <w:rsid w:val="004A6D2F"/>
    <w:rPr>
      <w:i/>
      <w:iCs/>
    </w:rPr>
  </w:style>
  <w:style w:type="character" w:customStyle="1" w:styleId="BulletpointsChar">
    <w:name w:val="Bullet points Char"/>
    <w:link w:val="Bulletpoints"/>
    <w:rsid w:val="005570B5"/>
    <w:rPr>
      <w:color w:val="000000"/>
      <w:sz w:val="24"/>
      <w:szCs w:val="24"/>
    </w:rPr>
  </w:style>
  <w:style w:type="character" w:customStyle="1" w:styleId="QuoteChar">
    <w:name w:val="Quote Char"/>
    <w:link w:val="Quote"/>
    <w:uiPriority w:val="29"/>
    <w:rsid w:val="004A6D2F"/>
    <w:rPr>
      <w:rFonts w:ascii="Arial" w:hAnsi="Arial"/>
      <w:i/>
      <w:iCs/>
      <w:color w:val="000000"/>
      <w:sz w:val="24"/>
      <w:szCs w:val="24"/>
      <w:lang w:eastAsia="en-US"/>
    </w:rPr>
  </w:style>
  <w:style w:type="character" w:customStyle="1" w:styleId="FooterChar">
    <w:name w:val="Footer Char"/>
    <w:aliases w:val="zzFooter Char"/>
    <w:link w:val="Footer"/>
    <w:uiPriority w:val="99"/>
    <w:rsid w:val="004B11AE"/>
    <w:rPr>
      <w:color w:val="000000"/>
      <w:sz w:val="18"/>
      <w:szCs w:val="24"/>
    </w:rPr>
  </w:style>
  <w:style w:type="character" w:customStyle="1" w:styleId="Firstpagetablebold">
    <w:name w:val="First page table: bold"/>
    <w:qFormat/>
    <w:rsid w:val="005D1E27"/>
    <w:rPr>
      <w:rFonts w:ascii="Arial" w:hAnsi="Arial"/>
      <w:b/>
      <w:sz w:val="24"/>
    </w:rPr>
  </w:style>
  <w:style w:type="paragraph" w:customStyle="1" w:styleId="bParagraphtext">
    <w:name w:val="bParagraph text"/>
    <w:basedOn w:val="ListParagraph"/>
    <w:link w:val="bParagraphtextChar"/>
    <w:qFormat/>
    <w:rsid w:val="004268B9"/>
  </w:style>
  <w:style w:type="paragraph" w:styleId="Caption">
    <w:name w:val="caption"/>
    <w:basedOn w:val="Normal"/>
    <w:next w:val="Normal"/>
    <w:unhideWhenUsed/>
    <w:qFormat/>
    <w:rsid w:val="0093067A"/>
    <w:pPr>
      <w:spacing w:before="120"/>
      <w:jc w:val="center"/>
    </w:pPr>
    <w:rPr>
      <w:b/>
      <w:bCs/>
      <w:sz w:val="20"/>
      <w:szCs w:val="20"/>
    </w:rPr>
  </w:style>
  <w:style w:type="character" w:customStyle="1" w:styleId="ListParagraphChar">
    <w:name w:val="List Paragraph Char"/>
    <w:link w:val="ListParagraph"/>
    <w:uiPriority w:val="34"/>
    <w:rsid w:val="005570B5"/>
    <w:rPr>
      <w:color w:val="000000"/>
      <w:sz w:val="24"/>
      <w:szCs w:val="24"/>
    </w:rPr>
  </w:style>
  <w:style w:type="character" w:customStyle="1" w:styleId="bParagraphtextChar">
    <w:name w:val="bParagraph text Char"/>
    <w:link w:val="bParagraphtext"/>
    <w:rsid w:val="005570B5"/>
    <w:rPr>
      <w:color w:val="000000"/>
      <w:sz w:val="24"/>
      <w:szCs w:val="24"/>
    </w:rPr>
  </w:style>
  <w:style w:type="paragraph" w:customStyle="1" w:styleId="Numberedlist">
    <w:name w:val="Numbered list"/>
    <w:basedOn w:val="Bulletpoints"/>
    <w:link w:val="NumberedlistChar"/>
    <w:qFormat/>
    <w:rsid w:val="004738C5"/>
    <w:pPr>
      <w:numPr>
        <w:numId w:val="23"/>
      </w:numPr>
      <w:ind w:left="993" w:hanging="426"/>
    </w:pPr>
  </w:style>
  <w:style w:type="character" w:customStyle="1" w:styleId="Heading1Char">
    <w:name w:val="Heading 1 Char"/>
    <w:aliases w:val="aHeading Char"/>
    <w:link w:val="Heading1"/>
    <w:rsid w:val="002B6836"/>
    <w:rPr>
      <w:b/>
      <w:color w:val="000000"/>
      <w:sz w:val="24"/>
      <w:szCs w:val="24"/>
    </w:rPr>
  </w:style>
  <w:style w:type="paragraph" w:styleId="TOAHeading">
    <w:name w:val="toa heading"/>
    <w:basedOn w:val="Normal"/>
    <w:next w:val="Normal"/>
    <w:rsid w:val="005570B5"/>
    <w:pPr>
      <w:spacing w:before="120"/>
    </w:pPr>
    <w:rPr>
      <w:rFonts w:ascii="Cambria" w:hAnsi="Cambria"/>
      <w:b/>
      <w:bCs/>
    </w:rPr>
  </w:style>
  <w:style w:type="character" w:customStyle="1" w:styleId="NumberedlistChar">
    <w:name w:val="Numbered list Char"/>
    <w:link w:val="Numberedlist"/>
    <w:rsid w:val="004738C5"/>
    <w:rPr>
      <w:color w:val="000000"/>
      <w:sz w:val="24"/>
      <w:szCs w:val="24"/>
    </w:rPr>
  </w:style>
  <w:style w:type="table" w:styleId="TableColumns1">
    <w:name w:val="Table Columns 1"/>
    <w:basedOn w:val="TableNormal"/>
    <w:rsid w:val="00507ECC"/>
    <w:pPr>
      <w:spacing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4">
    <w:name w:val="Table Classic 4"/>
    <w:basedOn w:val="TableNormal"/>
    <w:rsid w:val="00507ECC"/>
    <w:pPr>
      <w:spacing w:after="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3">
    <w:name w:val="Table Grid 3"/>
    <w:basedOn w:val="TableNormal"/>
    <w:rsid w:val="00507ECC"/>
    <w:pPr>
      <w:spacing w:after="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ightList-Accent1">
    <w:name w:val="Light List Accent 1"/>
    <w:basedOn w:val="TableNormal"/>
    <w:uiPriority w:val="61"/>
    <w:rsid w:val="00507EC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Default">
    <w:name w:val="Default"/>
    <w:rsid w:val="00747149"/>
    <w:pPr>
      <w:autoSpaceDE w:val="0"/>
      <w:autoSpaceDN w:val="0"/>
      <w:adjustRightInd w:val="0"/>
    </w:pPr>
    <w:rPr>
      <w:rFonts w:cs="Arial"/>
      <w:color w:val="000000"/>
      <w:sz w:val="24"/>
      <w:szCs w:val="24"/>
    </w:rPr>
  </w:style>
  <w:style w:type="character" w:styleId="UnresolvedMention">
    <w:name w:val="Unresolved Mention"/>
    <w:basedOn w:val="DefaultParagraphFont"/>
    <w:uiPriority w:val="99"/>
    <w:semiHidden/>
    <w:unhideWhenUsed/>
    <w:rsid w:val="00424B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70471">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454129367">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uncil%20Approval%20March%20202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Council%20Approval%20July%202019"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ycouncil.oxford.gov.uk/mgIssueHistoryHome.aspx?IId=41339&amp;PlanId=557&amp;RPID=5454121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mycouncilpages.oxford.gov.uk/ieListDocuments.aspx?CId=149&amp;MId=4376&amp;Ver=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70084659A8C14A869EF91DDC71B369" ma:contentTypeVersion="4" ma:contentTypeDescription="Create a new document." ma:contentTypeScope="" ma:versionID="1bef9870b4cf41f2705c813fc741edcd">
  <xsd:schema xmlns:xsd="http://www.w3.org/2001/XMLSchema" xmlns:xs="http://www.w3.org/2001/XMLSchema" xmlns:p="http://schemas.microsoft.com/office/2006/metadata/properties" xmlns:ns2="ac7a786f-a2c7-4d9b-96a8-3d484e57d929" targetNamespace="http://schemas.microsoft.com/office/2006/metadata/properties" ma:root="true" ma:fieldsID="79fddb1682badac180f0e3c21b57d876" ns2:_="">
    <xsd:import namespace="ac7a786f-a2c7-4d9b-96a8-3d484e57d9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7a786f-a2c7-4d9b-96a8-3d484e57d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8E232-602D-4C08-8D66-0392B23DE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7a786f-a2c7-4d9b-96a8-3d484e57d9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1BCFD2-81E2-4427-86F5-27E3506938E2}">
  <ds:schemaRefs>
    <ds:schemaRef ds:uri="http://schemas.microsoft.com/sharepoint/v3/contenttype/forms"/>
  </ds:schemaRefs>
</ds:datastoreItem>
</file>

<file path=customXml/itemProps3.xml><?xml version="1.0" encoding="utf-8"?>
<ds:datastoreItem xmlns:ds="http://schemas.openxmlformats.org/officeDocument/2006/customXml" ds:itemID="{D7302B15-B981-4809-B525-C3BA22C5FE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A6AB859-1359-4A59-AAB8-A2A5B8A58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2132</Words>
  <Characters>12158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OxCityCouncil Cabinet report</vt:lpstr>
    </vt:vector>
  </TitlesOfParts>
  <Company>Oxford City Council</Company>
  <LinksUpToDate>false</LinksUpToDate>
  <CharactersWithSpaces>14262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OxCityCouncil Cabinet report</dc:title>
  <dc:creator>jmitchell</dc:creator>
  <cp:keywords>OxCityCouncil Report</cp:keywords>
  <cp:lastModifiedBy>MALTON Jonathan</cp:lastModifiedBy>
  <cp:revision>42</cp:revision>
  <cp:lastPrinted>2015-07-03T13:50:00Z</cp:lastPrinted>
  <dcterms:created xsi:type="dcterms:W3CDTF">2025-11-05T18:50:00Z</dcterms:created>
  <dcterms:modified xsi:type="dcterms:W3CDTF">2025-11-10T16:36:00Z</dcterms:modified>
  <cp:category>Report to Council or Committee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0x010100A470084659A8C14A869EF91DDC71B369</vt:lpwstr>
  </property>
</Properties>
</file>